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5</w:t>
      </w:r>
      <w:r>
        <w:rPr>
          <w:rFonts w:ascii="Arial" w:hAnsi="Arial" w:cs="Arial"/>
          <w:b/>
          <w:sz w:val="22"/>
          <w:szCs w:val="22"/>
        </w:rPr>
        <w:tab/>
      </w:r>
      <w:r>
        <w:rPr>
          <w:rFonts w:hint="eastAsia" w:ascii="Arial" w:hAnsi="Arial" w:cs="Arial"/>
          <w:b/>
          <w:sz w:val="22"/>
          <w:szCs w:val="22"/>
        </w:rPr>
        <w:t>R1-2104327</w:t>
      </w:r>
    </w:p>
    <w:p>
      <w:pPr>
        <w:tabs>
          <w:tab w:val="right" w:pos="9630"/>
        </w:tabs>
        <w:spacing w:after="0"/>
        <w:rPr>
          <w:rFonts w:ascii="Arial" w:hAnsi="Arial" w:cs="Arial"/>
          <w:b/>
          <w:sz w:val="22"/>
          <w:szCs w:val="22"/>
        </w:rPr>
      </w:pPr>
      <w:r>
        <w:rPr>
          <w:rFonts w:hint="eastAsia" w:ascii="Arial" w:hAnsi="Arial" w:cs="Arial"/>
          <w:b/>
          <w:sz w:val="22"/>
          <w:szCs w:val="22"/>
        </w:rPr>
        <w:t xml:space="preserve">e-Meeting, </w:t>
      </w:r>
      <w:r>
        <w:rPr>
          <w:rFonts w:hint="eastAsia" w:ascii="Arial" w:hAnsi="Arial" w:cs="Arial"/>
          <w:b/>
          <w:sz w:val="22"/>
          <w:szCs w:val="22"/>
          <w:lang w:val="en-US" w:eastAsia="zh-CN"/>
        </w:rPr>
        <w:t>May</w:t>
      </w:r>
      <w:r>
        <w:rPr>
          <w:rFonts w:hint="eastAsia" w:ascii="Arial" w:hAnsi="Arial" w:cs="Arial"/>
          <w:b/>
          <w:sz w:val="22"/>
          <w:szCs w:val="22"/>
        </w:rPr>
        <w:t xml:space="preserve"> 1</w:t>
      </w:r>
      <w:r>
        <w:rPr>
          <w:rFonts w:hint="eastAsia" w:ascii="Arial" w:hAnsi="Arial" w:cs="Arial"/>
          <w:b/>
          <w:sz w:val="22"/>
          <w:szCs w:val="22"/>
          <w:lang w:val="en-US" w:eastAsia="zh-CN"/>
        </w:rPr>
        <w:t>0</w:t>
      </w:r>
      <w:r>
        <w:rPr>
          <w:rFonts w:hint="eastAsia" w:ascii="Arial" w:hAnsi="Arial" w:cs="Arial"/>
          <w:b/>
          <w:sz w:val="22"/>
          <w:szCs w:val="22"/>
          <w:vertAlign w:val="superscript"/>
        </w:rPr>
        <w:t>th</w:t>
      </w:r>
      <w:r>
        <w:rPr>
          <w:rFonts w:hint="eastAsia" w:ascii="Arial" w:hAnsi="Arial" w:cs="Arial"/>
          <w:b/>
          <w:sz w:val="22"/>
          <w:szCs w:val="22"/>
        </w:rPr>
        <w:t xml:space="preserve"> – 2</w:t>
      </w:r>
      <w:r>
        <w:rPr>
          <w:rFonts w:hint="eastAsia" w:ascii="Arial" w:hAnsi="Arial" w:cs="Arial"/>
          <w:b/>
          <w:sz w:val="22"/>
          <w:szCs w:val="22"/>
          <w:lang w:val="en-US" w:eastAsia="zh-CN"/>
        </w:rPr>
        <w:t>7</w:t>
      </w:r>
      <w:r>
        <w:rPr>
          <w:rFonts w:hint="eastAsia" w:ascii="Arial" w:hAnsi="Arial" w:cs="Arial"/>
          <w:b/>
          <w:sz w:val="22"/>
          <w:szCs w:val="22"/>
          <w:vertAlign w:val="superscript"/>
        </w:rPr>
        <w:t>th</w:t>
      </w:r>
      <w:r>
        <w:rPr>
          <w:rFonts w:hint="eastAsia" w:ascii="Arial" w:hAnsi="Arial" w:cs="Arial"/>
          <w:b/>
          <w:sz w:val="22"/>
          <w:szCs w:val="22"/>
        </w:rPr>
        <w:t>, 2021</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CSI feedback enhancements for eURLLC</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8.3.1.2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rPr>
          <w:rFonts w:hint="eastAsia"/>
          <w:lang w:eastAsia="zh-CN"/>
        </w:rPr>
        <w:t>In the RAN1 #104</w:t>
      </w:r>
      <w:r>
        <w:rPr>
          <w:rFonts w:hint="eastAsia"/>
          <w:lang w:val="en-US" w:eastAsia="zh-CN"/>
        </w:rPr>
        <w:t>bis</w:t>
      </w:r>
      <w:r>
        <w:rPr>
          <w:rFonts w:hint="eastAsia"/>
          <w:lang w:eastAsia="zh-CN"/>
        </w:rPr>
        <w:t xml:space="preserve">-e meeting, several schemes for the CSI feedback enhancements were discussed and the following conclusion </w:t>
      </w:r>
      <w:r>
        <w:rPr>
          <w:rFonts w:hint="eastAsia"/>
          <w:lang w:val="en-US" w:eastAsia="zh-CN"/>
        </w:rPr>
        <w:t xml:space="preserve">and agreements were </w:t>
      </w:r>
      <w:r>
        <w:rPr>
          <w:rFonts w:hint="eastAsia"/>
          <w:lang w:eastAsia="zh-CN"/>
        </w:rPr>
        <w:t>reached [1].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b/>
                <w:bCs/>
                <w:szCs w:val="20"/>
                <w:u w:val="single"/>
              </w:rPr>
            </w:pPr>
            <w:r>
              <w:rPr>
                <w:b/>
                <w:bCs/>
                <w:szCs w:val="20"/>
                <w:u w:val="single"/>
              </w:rPr>
              <w:t>Conclusion:</w:t>
            </w:r>
          </w:p>
          <w:p>
            <w:pPr>
              <w:spacing w:before="120" w:line="280" w:lineRule="atLeast"/>
              <w:rPr>
                <w:color w:val="000000"/>
                <w:szCs w:val="20"/>
              </w:rPr>
            </w:pPr>
            <w:r>
              <w:rPr>
                <w:color w:val="000000"/>
                <w:szCs w:val="20"/>
              </w:rPr>
              <w:t>For new reporting Case 1, do not consider further the following schemes:</w:t>
            </w:r>
          </w:p>
          <w:p>
            <w:pPr>
              <w:pStyle w:val="114"/>
              <w:numPr>
                <w:ilvl w:val="0"/>
                <w:numId w:val="10"/>
              </w:numPr>
              <w:spacing w:before="120" w:line="252" w:lineRule="auto"/>
              <w:ind w:leftChars="0"/>
              <w:rPr>
                <w:color w:val="000000"/>
                <w:szCs w:val="20"/>
              </w:rPr>
            </w:pPr>
            <w:r>
              <w:rPr>
                <w:color w:val="000000"/>
                <w:szCs w:val="20"/>
              </w:rPr>
              <w:t>Case 1-2: CSI prediction</w:t>
            </w:r>
          </w:p>
          <w:p>
            <w:pPr>
              <w:pStyle w:val="114"/>
              <w:numPr>
                <w:ilvl w:val="0"/>
                <w:numId w:val="10"/>
              </w:numPr>
              <w:spacing w:before="120" w:line="252" w:lineRule="auto"/>
              <w:ind w:leftChars="0"/>
              <w:rPr>
                <w:color w:val="000000"/>
                <w:szCs w:val="20"/>
              </w:rPr>
            </w:pPr>
            <w:r>
              <w:rPr>
                <w:color w:val="000000"/>
                <w:szCs w:val="20"/>
              </w:rPr>
              <w:t>Case 1-4: Interference covariance matrix</w:t>
            </w:r>
          </w:p>
          <w:p>
            <w:pPr>
              <w:pStyle w:val="114"/>
              <w:numPr>
                <w:ilvl w:val="0"/>
                <w:numId w:val="10"/>
              </w:numPr>
              <w:spacing w:before="120" w:line="252" w:lineRule="auto"/>
              <w:ind w:leftChars="0"/>
              <w:rPr>
                <w:color w:val="000000"/>
                <w:szCs w:val="20"/>
              </w:rPr>
            </w:pPr>
            <w:r>
              <w:rPr>
                <w:color w:val="000000"/>
                <w:szCs w:val="20"/>
              </w:rPr>
              <w:t>Case 1-9: Reference wideband CQI excludes worst sub-bands</w:t>
            </w:r>
          </w:p>
          <w:p>
            <w:pPr>
              <w:pStyle w:val="114"/>
              <w:numPr>
                <w:ilvl w:val="0"/>
                <w:numId w:val="10"/>
              </w:numPr>
              <w:spacing w:before="120" w:line="252" w:lineRule="auto"/>
              <w:ind w:leftChars="0"/>
              <w:rPr>
                <w:color w:val="000000"/>
                <w:szCs w:val="20"/>
              </w:rPr>
            </w:pPr>
            <w:r>
              <w:rPr>
                <w:color w:val="000000"/>
                <w:szCs w:val="20"/>
              </w:rPr>
              <w:t>Case 1-10: CSI expiration time</w:t>
            </w:r>
          </w:p>
          <w:p>
            <w:pPr>
              <w:spacing w:before="120" w:line="280" w:lineRule="atLeast"/>
              <w:rPr>
                <w:highlight w:val="green"/>
              </w:rPr>
            </w:pPr>
          </w:p>
          <w:p>
            <w:pPr>
              <w:spacing w:before="120" w:line="280" w:lineRule="atLeast"/>
              <w:rPr>
                <w:rFonts w:ascii="Times New Roman" w:hAnsi="Times New Roman"/>
                <w:b/>
                <w:bCs/>
                <w:sz w:val="32"/>
                <w:szCs w:val="32"/>
                <w:lang w:val="en-US" w:eastAsia="ko-KR"/>
              </w:rPr>
            </w:pPr>
            <w:r>
              <w:rPr>
                <w:highlight w:val="green"/>
              </w:rPr>
              <w:t>Agreements:</w:t>
            </w:r>
          </w:p>
          <w:p>
            <w:pPr>
              <w:spacing w:before="120" w:line="280" w:lineRule="atLeast"/>
              <w:rPr>
                <w:rFonts w:ascii="Times New Roman" w:hAnsi="Times New Roman"/>
                <w:szCs w:val="20"/>
                <w:lang w:eastAsia="ko-KR"/>
              </w:rPr>
            </w:pPr>
            <w:r>
              <w:rPr>
                <w:rFonts w:ascii="Times New Roman" w:hAnsi="Times New Roman"/>
                <w:szCs w:val="20"/>
                <w:lang w:eastAsia="ko-KR"/>
              </w:rPr>
              <w:t>For new reporting Case 2, focus study on reporting of delta-CQI/MCS (Case 2-3):</w:t>
            </w:r>
          </w:p>
          <w:p>
            <w:pPr>
              <w:pStyle w:val="114"/>
              <w:numPr>
                <w:ilvl w:val="0"/>
                <w:numId w:val="11"/>
              </w:numPr>
              <w:spacing w:before="120" w:after="160" w:line="252" w:lineRule="auto"/>
              <w:ind w:leftChars="0"/>
              <w:rPr>
                <w:rFonts w:ascii="Times New Roman" w:hAnsi="Times New Roman"/>
                <w:szCs w:val="20"/>
                <w:lang w:eastAsia="ko-KR"/>
              </w:rPr>
            </w:pPr>
            <w:r>
              <w:rPr>
                <w:rFonts w:ascii="Times New Roman" w:hAnsi="Times New Roman"/>
                <w:szCs w:val="20"/>
                <w:lang w:eastAsia="ko-KR"/>
              </w:rPr>
              <w:t>Note: this delta-CQI/MCS is determined based on UE implementation (for example, using SINR, LLR, raw BER, flipped bits, LDPC iterations, BLEP, # fail parity checks, etc.)</w:t>
            </w:r>
          </w:p>
          <w:p>
            <w:pPr>
              <w:pStyle w:val="114"/>
              <w:numPr>
                <w:ilvl w:val="1"/>
                <w:numId w:val="11"/>
              </w:numPr>
              <w:spacing w:before="120" w:after="160" w:line="252" w:lineRule="auto"/>
              <w:ind w:leftChars="0"/>
              <w:rPr>
                <w:rFonts w:ascii="Times New Roman" w:hAnsi="Times New Roman"/>
                <w:szCs w:val="20"/>
                <w:lang w:eastAsia="ko-KR"/>
              </w:rPr>
            </w:pPr>
            <w:r>
              <w:rPr>
                <w:rFonts w:ascii="Times New Roman" w:hAnsi="Times New Roman"/>
                <w:szCs w:val="20"/>
                <w:lang w:eastAsia="ko-KR"/>
              </w:rPr>
              <w:t>Companies are encouraged to provide more details in their analysis</w:t>
            </w:r>
          </w:p>
          <w:p>
            <w:pPr>
              <w:pStyle w:val="114"/>
              <w:numPr>
                <w:ilvl w:val="0"/>
                <w:numId w:val="11"/>
              </w:numPr>
              <w:spacing w:before="120" w:after="160" w:line="252" w:lineRule="auto"/>
              <w:ind w:leftChars="0"/>
              <w:rPr>
                <w:rFonts w:ascii="Times New Roman" w:hAnsi="Times New Roman"/>
                <w:szCs w:val="20"/>
                <w:lang w:eastAsia="ko-KR"/>
              </w:rPr>
            </w:pPr>
            <w:r>
              <w:rPr>
                <w:rFonts w:ascii="Times New Roman" w:hAnsi="Times New Roman"/>
                <w:szCs w:val="20"/>
                <w:lang w:eastAsia="ko-KR"/>
              </w:rPr>
              <w:t>FFS: Granularity of new report type (e.g. units of CQI or MCS, how many bits)</w:t>
            </w:r>
          </w:p>
          <w:p>
            <w:pPr>
              <w:pStyle w:val="114"/>
              <w:numPr>
                <w:ilvl w:val="0"/>
                <w:numId w:val="11"/>
              </w:numPr>
              <w:spacing w:before="120" w:after="160" w:line="252" w:lineRule="auto"/>
              <w:ind w:leftChars="0"/>
              <w:rPr>
                <w:rFonts w:ascii="Times New Roman" w:hAnsi="Times New Roman"/>
                <w:szCs w:val="20"/>
                <w:lang w:eastAsia="ko-KR"/>
              </w:rPr>
            </w:pPr>
            <w:r>
              <w:rPr>
                <w:rFonts w:ascii="Times New Roman" w:hAnsi="Times New Roman"/>
                <w:szCs w:val="20"/>
                <w:lang w:eastAsia="ko-KR"/>
              </w:rPr>
              <w:t>FFS: Whether quantity reported is relative to the scheduled MCS</w:t>
            </w:r>
          </w:p>
          <w:p>
            <w:pPr>
              <w:spacing w:before="120" w:line="280" w:lineRule="atLeast"/>
            </w:pPr>
          </w:p>
          <w:p>
            <w:pPr>
              <w:spacing w:before="120" w:line="280" w:lineRule="atLeast"/>
              <w:rPr>
                <w:rFonts w:ascii="Times New Roman" w:hAnsi="Times New Roman"/>
                <w:color w:val="000000"/>
                <w:szCs w:val="22"/>
                <w:lang w:val="en-US"/>
              </w:rPr>
            </w:pPr>
            <w:r>
              <w:rPr>
                <w:rFonts w:ascii="Times New Roman" w:hAnsi="Times New Roman"/>
                <w:highlight w:val="green"/>
              </w:rPr>
              <w:t>Agreement</w:t>
            </w:r>
            <w:r>
              <w:rPr>
                <w:rFonts w:ascii="Times New Roman" w:hAnsi="Times New Roman"/>
              </w:rPr>
              <w:t>: Focus study on t</w:t>
            </w:r>
            <w:r>
              <w:rPr>
                <w:rFonts w:ascii="Times New Roman" w:hAnsi="Times New Roman"/>
                <w:color w:val="000000"/>
              </w:rPr>
              <w:t>he following for new reporting Case 1:</w:t>
            </w:r>
          </w:p>
          <w:p>
            <w:pPr>
              <w:pStyle w:val="114"/>
              <w:numPr>
                <w:ilvl w:val="0"/>
                <w:numId w:val="11"/>
              </w:numPr>
              <w:spacing w:before="120" w:after="160" w:line="252" w:lineRule="auto"/>
              <w:ind w:leftChars="0"/>
              <w:rPr>
                <w:rFonts w:ascii="Times New Roman" w:hAnsi="Times New Roman"/>
              </w:rPr>
            </w:pPr>
            <w:r>
              <w:rPr>
                <w:rFonts w:ascii="Times New Roman" w:hAnsi="Times New Roman"/>
              </w:rPr>
              <w:t xml:space="preserve">Reporting of new metric, where new metric shall be determined based on network configured channel and interference measurement interval (multiple CMR and/or IMR instances) to enable accurate MCS selection. </w:t>
            </w:r>
          </w:p>
          <w:p>
            <w:pPr>
              <w:pStyle w:val="114"/>
              <w:numPr>
                <w:ilvl w:val="1"/>
                <w:numId w:val="11"/>
              </w:numPr>
              <w:spacing w:before="120" w:line="252" w:lineRule="auto"/>
              <w:ind w:leftChars="0"/>
              <w:rPr>
                <w:rFonts w:ascii="Times New Roman" w:hAnsi="Times New Roman"/>
              </w:rPr>
            </w:pPr>
            <w:r>
              <w:rPr>
                <w:rFonts w:ascii="Times New Roman" w:hAnsi="Times New Roman"/>
              </w:rPr>
              <w:t xml:space="preserve">Downselect by RAN1#105 to </w:t>
            </w:r>
            <w:r>
              <w:rPr>
                <w:rFonts w:ascii="Times New Roman" w:hAnsi="Times New Roman"/>
                <w:color w:val="FF0000"/>
              </w:rPr>
              <w:t xml:space="preserve">at most </w:t>
            </w:r>
            <w:r>
              <w:rPr>
                <w:rFonts w:ascii="Times New Roman" w:hAnsi="Times New Roman"/>
              </w:rPr>
              <w:t>a single method from the following options:</w:t>
            </w:r>
          </w:p>
          <w:p>
            <w:pPr>
              <w:pStyle w:val="114"/>
              <w:numPr>
                <w:ilvl w:val="-1"/>
                <w:numId w:val="0"/>
              </w:numPr>
              <w:spacing w:before="120" w:line="252" w:lineRule="auto"/>
              <w:ind w:left="0" w:firstLine="0"/>
              <w:rPr>
                <w:rFonts w:ascii="Times New Roman" w:hAnsi="Times New Roman" w:eastAsia="Calibri"/>
              </w:rPr>
            </w:pPr>
          </w:p>
          <w:p>
            <w:pPr>
              <w:pStyle w:val="114"/>
              <w:numPr>
                <w:ilvl w:val="2"/>
                <w:numId w:val="11"/>
              </w:numPr>
              <w:spacing w:before="120" w:after="160" w:line="252" w:lineRule="auto"/>
              <w:ind w:leftChars="0"/>
              <w:rPr>
                <w:rFonts w:ascii="Calibri" w:hAnsi="Calibri" w:eastAsia="Times New Roman" w:cs="Calibri"/>
              </w:rPr>
            </w:pPr>
            <w:r>
              <w:rPr>
                <w:rFonts w:ascii="Times New Roman" w:hAnsi="Times New Roman"/>
              </w:rPr>
              <w:t>Mean-CQI/SINR and stdev-CQI/SINR (FFS details)</w:t>
            </w:r>
          </w:p>
          <w:p>
            <w:pPr>
              <w:pStyle w:val="114"/>
              <w:numPr>
                <w:ilvl w:val="2"/>
                <w:numId w:val="11"/>
              </w:numPr>
              <w:spacing w:before="120" w:after="160" w:line="252" w:lineRule="auto"/>
              <w:ind w:leftChars="0"/>
            </w:pPr>
            <w:r>
              <w:rPr>
                <w:rFonts w:ascii="Times New Roman" w:hAnsi="Times New Roman"/>
              </w:rPr>
              <w:t>CSI based on worst IMR occasion (FFS details)</w:t>
            </w:r>
          </w:p>
          <w:p>
            <w:pPr>
              <w:pStyle w:val="114"/>
              <w:numPr>
                <w:ilvl w:val="2"/>
                <w:numId w:val="11"/>
              </w:numPr>
              <w:spacing w:before="120" w:after="160" w:line="252" w:lineRule="auto"/>
              <w:ind w:leftChars="0"/>
            </w:pPr>
            <w:r>
              <w:rPr>
                <w:rFonts w:ascii="Times New Roman" w:hAnsi="Times New Roman"/>
                <w:color w:val="FF0000"/>
              </w:rPr>
              <w:t>Interference standard deviation (FFS details)</w:t>
            </w:r>
          </w:p>
          <w:p>
            <w:pPr>
              <w:pStyle w:val="114"/>
              <w:numPr>
                <w:ilvl w:val="2"/>
                <w:numId w:val="11"/>
              </w:numPr>
              <w:spacing w:before="120" w:after="160" w:line="252" w:lineRule="auto"/>
              <w:ind w:leftChars="0"/>
            </w:pPr>
            <w:r>
              <w:rPr>
                <w:rFonts w:ascii="Times New Roman" w:hAnsi="Times New Roman"/>
                <w:color w:val="FF0000"/>
              </w:rPr>
              <w:t>Worst-M CQI (FFS details)</w:t>
            </w:r>
          </w:p>
          <w:p>
            <w:pPr>
              <w:pStyle w:val="114"/>
              <w:numPr>
                <w:ilvl w:val="1"/>
                <w:numId w:val="11"/>
              </w:numPr>
              <w:spacing w:before="120" w:after="160" w:line="252" w:lineRule="auto"/>
              <w:ind w:leftChars="0"/>
            </w:pPr>
            <w:r>
              <w:rPr>
                <w:rFonts w:ascii="Times New Roman" w:hAnsi="Times New Roman"/>
              </w:rPr>
              <w:t>FFS: Whether network configured channel and interference measurement interval can also be applied to existing CSI type</w:t>
            </w:r>
          </w:p>
          <w:p>
            <w:pPr>
              <w:pStyle w:val="114"/>
              <w:numPr>
                <w:ilvl w:val="0"/>
                <w:numId w:val="11"/>
              </w:numPr>
              <w:spacing w:before="120" w:after="160" w:line="252" w:lineRule="auto"/>
              <w:ind w:leftChars="0"/>
              <w:rPr>
                <w:rFonts w:ascii="Times New Roman" w:hAnsi="Times New Roman"/>
                <w:color w:val="FF0000"/>
              </w:rPr>
            </w:pPr>
            <w:r>
              <w:rPr>
                <w:rFonts w:ascii="Times New Roman" w:hAnsi="Times New Roman"/>
              </w:rPr>
              <w:t>Increasing granularity of subband CQI (e.g. 3-bits differential subband CQI or 4-bits full subband CQI).</w:t>
            </w:r>
          </w:p>
          <w:p>
            <w:pPr>
              <w:pStyle w:val="114"/>
              <w:numPr>
                <w:ilvl w:val="0"/>
                <w:numId w:val="11"/>
              </w:numPr>
              <w:spacing w:before="120" w:after="160" w:line="252" w:lineRule="auto"/>
              <w:ind w:leftChars="0"/>
              <w:rPr>
                <w:rFonts w:ascii="Calibri" w:hAnsi="Calibri" w:cs="Calibri"/>
              </w:rPr>
            </w:pPr>
            <w:r>
              <w:rPr>
                <w:rFonts w:ascii="Times New Roman" w:hAnsi="Times New Roman"/>
              </w:rPr>
              <w:t>Updating only CQI in a report, where CQI is conditioned on a previous instance in which RI/PMI/(CRI) is updated.</w:t>
            </w:r>
          </w:p>
          <w:p>
            <w:pPr>
              <w:pStyle w:val="114"/>
              <w:numPr>
                <w:ilvl w:val="1"/>
                <w:numId w:val="11"/>
              </w:numPr>
              <w:spacing w:before="120" w:after="160" w:line="252" w:lineRule="auto"/>
              <w:ind w:leftChars="0"/>
              <w:rPr>
                <w:rFonts w:ascii="Times New Roman" w:hAnsi="Times New Roman"/>
                <w:color w:val="FF0000"/>
              </w:rPr>
            </w:pPr>
            <w:r>
              <w:rPr>
                <w:rFonts w:ascii="Times New Roman" w:hAnsi="Times New Roman"/>
                <w:color w:val="FF0000"/>
              </w:rPr>
              <w:t xml:space="preserve">Applicable for same reporting quantity as R16 for CQI. </w:t>
            </w:r>
          </w:p>
          <w:p>
            <w:pPr>
              <w:pStyle w:val="114"/>
              <w:numPr>
                <w:ilvl w:val="1"/>
                <w:numId w:val="11"/>
              </w:numPr>
              <w:spacing w:before="120" w:after="160" w:line="252" w:lineRule="auto"/>
              <w:ind w:leftChars="0"/>
              <w:rPr>
                <w:rFonts w:ascii="Times New Roman" w:hAnsi="Times New Roman"/>
              </w:rPr>
            </w:pPr>
            <w:r>
              <w:rPr>
                <w:rFonts w:ascii="Times New Roman" w:hAnsi="Times New Roman"/>
              </w:rPr>
              <w:t>FFS: Whether network configured channel and interference measurement interval can also be applied</w:t>
            </w:r>
          </w:p>
          <w:p>
            <w:pPr>
              <w:pStyle w:val="114"/>
              <w:numPr>
                <w:ilvl w:val="1"/>
                <w:numId w:val="11"/>
              </w:numPr>
              <w:spacing w:before="120" w:after="160" w:line="252" w:lineRule="auto"/>
              <w:ind w:leftChars="0"/>
              <w:rPr>
                <w:rFonts w:ascii="Times New Roman" w:hAnsi="Times New Roman"/>
              </w:rPr>
            </w:pPr>
            <w:r>
              <w:rPr>
                <w:rFonts w:ascii="Times New Roman" w:hAnsi="Times New Roman"/>
              </w:rPr>
              <w:t>FFS: Whether RI/PMI/(CRI) is transmitted in a report where only CQI is updated</w:t>
            </w:r>
          </w:p>
          <w:p>
            <w:pPr>
              <w:pStyle w:val="114"/>
              <w:numPr>
                <w:ilvl w:val="1"/>
                <w:numId w:val="11"/>
              </w:numPr>
              <w:spacing w:before="120" w:after="160" w:line="252" w:lineRule="auto"/>
              <w:ind w:leftChars="0"/>
              <w:rPr>
                <w:rFonts w:ascii="Times New Roman" w:hAnsi="Times New Roman"/>
                <w:strike/>
                <w:color w:val="FF0000"/>
              </w:rPr>
            </w:pPr>
            <w:r>
              <w:rPr>
                <w:rFonts w:ascii="Times New Roman" w:hAnsi="Times New Roman"/>
                <w:strike/>
                <w:color w:val="FF0000"/>
              </w:rPr>
              <w:t>FFS: how to report the updated CQI</w:t>
            </w:r>
          </w:p>
          <w:p>
            <w:pPr>
              <w:pStyle w:val="114"/>
              <w:numPr>
                <w:ilvl w:val="1"/>
                <w:numId w:val="11"/>
              </w:numPr>
              <w:spacing w:before="120" w:after="160" w:line="252" w:lineRule="auto"/>
              <w:ind w:leftChars="0"/>
              <w:rPr>
                <w:rFonts w:ascii="Times New Roman" w:hAnsi="Times New Roman"/>
              </w:rPr>
            </w:pPr>
            <w:r>
              <w:rPr>
                <w:rFonts w:ascii="Times New Roman" w:hAnsi="Times New Roman"/>
              </w:rPr>
              <w:t xml:space="preserve">FFS: whether the CQI processing time can be </w:t>
            </w:r>
            <w:r>
              <w:rPr>
                <w:rFonts w:ascii="Times New Roman" w:hAnsi="Times New Roman"/>
                <w:strike/>
              </w:rPr>
              <w:t>is</w:t>
            </w:r>
            <w:r>
              <w:rPr>
                <w:rFonts w:ascii="Times New Roman" w:hAnsi="Times New Roman"/>
              </w:rPr>
              <w:t xml:space="preserve"> reduced compared to Rel-16 CSI processing delay</w:t>
            </w:r>
          </w:p>
          <w:p>
            <w:pPr>
              <w:spacing w:before="120" w:line="280" w:lineRule="atLeast"/>
              <w:rPr>
                <w:lang w:val="en-GB" w:eastAsia="zh-CN"/>
              </w:rPr>
            </w:pPr>
          </w:p>
        </w:tc>
      </w:tr>
    </w:tbl>
    <w:p>
      <w:pPr>
        <w:spacing w:before="120" w:beforeLines="50"/>
        <w:rPr>
          <w:lang w:eastAsia="zh-CN"/>
        </w:rPr>
      </w:pPr>
      <w:r>
        <w:rPr>
          <w:rFonts w:hint="eastAsia"/>
          <w:lang w:val="en-GB" w:eastAsia="zh-CN"/>
        </w:rPr>
        <w:t xml:space="preserve">In this contribution, </w:t>
      </w:r>
      <w:r>
        <w:rPr>
          <w:rFonts w:hint="eastAsia"/>
          <w:lang w:eastAsia="zh-CN"/>
        </w:rPr>
        <w:t xml:space="preserve">these schemes are discussed and corresponding simulation results are also provided. In addition, A-CSI on PUCCH is also discussed. </w:t>
      </w:r>
    </w:p>
    <w:p>
      <w:pPr>
        <w:pStyle w:val="2"/>
        <w:rPr>
          <w:lang w:eastAsia="zh-CN"/>
        </w:rPr>
      </w:pPr>
      <w:r>
        <w:rPr>
          <w:rFonts w:hint="eastAsia"/>
          <w:lang w:eastAsia="zh-CN"/>
        </w:rPr>
        <w:t>Evaluation of CSI feedback enhancement</w:t>
      </w:r>
    </w:p>
    <w:p>
      <w:pPr>
        <w:pStyle w:val="3"/>
        <w:rPr>
          <w:lang w:val="en-US" w:eastAsia="zh-CN"/>
        </w:rPr>
      </w:pPr>
      <w:r>
        <w:rPr>
          <w:rFonts w:hint="eastAsia"/>
          <w:lang w:val="en-US" w:eastAsia="zh-CN"/>
        </w:rPr>
        <w:t>Evaluation results for A-CSI on PUCCH and CSI feedback in Rel-16</w:t>
      </w:r>
    </w:p>
    <w:p>
      <w:pPr>
        <w:rPr>
          <w:lang w:eastAsia="zh-CN"/>
        </w:rPr>
      </w:pPr>
      <w:r>
        <w:rPr>
          <w:lang w:eastAsia="zh-CN"/>
        </w:rPr>
        <w:t>To move forward the standardization progress [2], it is suggested that A-CSI on PUCCH triggered by DL DCI can be compared with P-CSI on PUCCH, SP-CSI on PUCCH and A-CSI on PUSCH</w:t>
      </w:r>
      <w:r>
        <w:rPr>
          <w:rFonts w:hint="eastAsia"/>
          <w:lang w:eastAsia="zh-CN"/>
        </w:rPr>
        <w:t>, where</w:t>
      </w:r>
      <w:r>
        <w:rPr>
          <w:lang w:eastAsia="zh-CN"/>
        </w:rPr>
        <w:t xml:space="preserve"> </w:t>
      </w:r>
      <w:r>
        <w:rPr>
          <w:rFonts w:hint="eastAsia"/>
          <w:lang w:eastAsia="zh-CN"/>
        </w:rPr>
        <w:t>t</w:t>
      </w:r>
      <w:r>
        <w:rPr>
          <w:lang w:eastAsia="zh-CN"/>
        </w:rPr>
        <w:t xml:space="preserve">he latter three CSI feedback modes </w:t>
      </w:r>
      <w:r>
        <w:rPr>
          <w:rFonts w:hint="eastAsia"/>
          <w:lang w:eastAsia="zh-CN"/>
        </w:rPr>
        <w:t xml:space="preserve">have </w:t>
      </w:r>
      <w:r>
        <w:rPr>
          <w:lang w:eastAsia="zh-CN"/>
        </w:rPr>
        <w:t xml:space="preserve">already </w:t>
      </w:r>
      <w:r>
        <w:rPr>
          <w:rFonts w:hint="eastAsia"/>
          <w:lang w:eastAsia="zh-CN"/>
        </w:rPr>
        <w:t xml:space="preserve">been </w:t>
      </w:r>
      <w:r>
        <w:rPr>
          <w:lang w:eastAsia="zh-CN"/>
        </w:rPr>
        <w:t>supported in the Rel-16. Therefore, the performance of these four types of CSI feedback are evaluated below.</w:t>
      </w:r>
    </w:p>
    <w:p>
      <w:pPr>
        <w:numPr>
          <w:ilvl w:val="0"/>
          <w:numId w:val="12"/>
        </w:numPr>
        <w:rPr>
          <w:lang w:eastAsia="zh-CN"/>
        </w:rPr>
      </w:pPr>
      <w:r>
        <w:rPr>
          <w:lang w:eastAsia="zh-CN"/>
        </w:rPr>
        <w:t>Case 0-1: P-CSI on PUCCH (supported in Rel-16)</w:t>
      </w:r>
    </w:p>
    <w:p>
      <w:pPr>
        <w:numPr>
          <w:ilvl w:val="0"/>
          <w:numId w:val="12"/>
        </w:numPr>
        <w:rPr>
          <w:lang w:eastAsia="zh-CN"/>
        </w:rPr>
      </w:pPr>
      <w:r>
        <w:rPr>
          <w:lang w:eastAsia="zh-CN"/>
        </w:rPr>
        <w:t>Case 0-2: SP-CSI on PUCCH (supported in Rel-16)</w:t>
      </w:r>
    </w:p>
    <w:p>
      <w:pPr>
        <w:numPr>
          <w:ilvl w:val="0"/>
          <w:numId w:val="12"/>
        </w:numPr>
        <w:rPr>
          <w:lang w:eastAsia="zh-CN"/>
        </w:rPr>
      </w:pPr>
      <w:r>
        <w:rPr>
          <w:lang w:eastAsia="zh-CN"/>
        </w:rPr>
        <w:t>Case 0-3: A-CSI on PUSCH (supported in Rel-16)</w:t>
      </w:r>
    </w:p>
    <w:p>
      <w:pPr>
        <w:numPr>
          <w:ilvl w:val="0"/>
          <w:numId w:val="12"/>
        </w:numPr>
        <w:rPr>
          <w:lang w:eastAsia="zh-CN"/>
        </w:rPr>
      </w:pPr>
      <w:r>
        <w:rPr>
          <w:lang w:eastAsia="zh-CN"/>
        </w:rPr>
        <w:t>Case 0-4: A-CSI on PUCCH triggered by DL grant</w:t>
      </w:r>
    </w:p>
    <w:p>
      <w:pPr>
        <w:rPr>
          <w:lang w:eastAsia="zh-CN"/>
        </w:rPr>
      </w:pPr>
      <w:r>
        <w:rPr>
          <w:lang w:eastAsia="zh-CN"/>
        </w:rPr>
        <w:t>The detailed simulation results are shown in Table 1.</w:t>
      </w:r>
    </w:p>
    <w:p>
      <w:pPr>
        <w:jc w:val="center"/>
        <w:rPr>
          <w:lang w:eastAsia="zh-CN"/>
        </w:rPr>
      </w:pPr>
      <w:r>
        <w:rPr>
          <w:lang w:eastAsia="zh-CN"/>
        </w:rPr>
        <w:t>Table 1 The simulation results in R15 AR/VR scenario</w:t>
      </w:r>
    </w:p>
    <w:tbl>
      <w:tblPr>
        <w:tblStyle w:val="51"/>
        <w:tblW w:w="9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4"/>
        <w:gridCol w:w="1187"/>
        <w:gridCol w:w="867"/>
        <w:gridCol w:w="613"/>
        <w:gridCol w:w="1493"/>
        <w:gridCol w:w="1185"/>
        <w:gridCol w:w="1068"/>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l2br w:val="single" w:color="auto" w:sz="4" w:space="0"/>
            </w:tcBorders>
          </w:tcPr>
          <w:p>
            <w:pPr>
              <w:snapToGrid w:val="0"/>
              <w:spacing w:before="120" w:after="0" w:line="280" w:lineRule="atLeast"/>
              <w:ind w:firstLine="5000" w:firstLineChars="2500"/>
              <w:rPr>
                <w:bCs/>
                <w:sz w:val="20"/>
                <w:szCs w:val="20"/>
                <w:lang w:eastAsia="zh-CN"/>
              </w:rPr>
            </w:pPr>
            <w:bookmarkStart w:id="3" w:name="OLE_LINK9" w:colFirst="0" w:colLast="4"/>
            <w:r>
              <w:rPr>
                <w:rFonts w:hint="eastAsia"/>
                <w:bCs/>
                <w:sz w:val="20"/>
                <w:szCs w:val="20"/>
                <w:lang w:eastAsia="zh-CN"/>
              </w:rPr>
              <w:t xml:space="preserve"> Cases    </w:t>
            </w:r>
            <w:r>
              <w:rPr>
                <w:rFonts w:hint="eastAsia"/>
                <w:bCs/>
                <w:sz w:val="20"/>
                <w:szCs w:val="20"/>
                <w:lang w:val="en-US" w:eastAsia="zh-CN"/>
              </w:rPr>
              <w:t xml:space="preserve">  </w:t>
            </w:r>
            <w:r>
              <w:rPr>
                <w:rFonts w:hint="eastAsia"/>
                <w:bCs/>
                <w:sz w:val="20"/>
                <w:szCs w:val="20"/>
                <w:lang w:eastAsia="zh-CN"/>
              </w:rPr>
              <w:t xml:space="preserve"> Metrics   </w:t>
            </w:r>
          </w:p>
        </w:tc>
        <w:tc>
          <w:tcPr>
            <w:tcW w:w="1187" w:type="dxa"/>
          </w:tcPr>
          <w:p>
            <w:pPr>
              <w:snapToGrid w:val="0"/>
              <w:spacing w:before="120" w:after="0" w:line="280" w:lineRule="atLeast"/>
              <w:jc w:val="center"/>
              <w:rPr>
                <w:sz w:val="20"/>
                <w:szCs w:val="20"/>
                <w:lang w:eastAsia="zh-CN"/>
              </w:rPr>
            </w:pPr>
            <w:r>
              <w:rPr>
                <w:rFonts w:hint="eastAsia"/>
                <w:sz w:val="20"/>
                <w:szCs w:val="20"/>
                <w:lang w:eastAsia="zh-CN"/>
              </w:rPr>
              <w:t>Percentage</w:t>
            </w:r>
          </w:p>
          <w:p>
            <w:pPr>
              <w:snapToGrid w:val="0"/>
              <w:spacing w:before="120" w:after="0" w:line="280" w:lineRule="atLeast"/>
              <w:jc w:val="center"/>
              <w:rPr>
                <w:sz w:val="20"/>
                <w:szCs w:val="20"/>
                <w:lang w:eastAsia="zh-CN"/>
              </w:rPr>
            </w:pPr>
            <w:r>
              <w:rPr>
                <w:rFonts w:hint="eastAsia"/>
                <w:sz w:val="20"/>
                <w:szCs w:val="20"/>
                <w:lang w:eastAsia="zh-CN"/>
              </w:rPr>
              <w:t>(%)</w:t>
            </w:r>
          </w:p>
        </w:tc>
        <w:tc>
          <w:tcPr>
            <w:tcW w:w="867" w:type="dxa"/>
          </w:tcPr>
          <w:p>
            <w:pPr>
              <w:snapToGrid w:val="0"/>
              <w:spacing w:before="120" w:after="0" w:line="280" w:lineRule="atLeast"/>
              <w:jc w:val="center"/>
              <w:rPr>
                <w:sz w:val="20"/>
                <w:szCs w:val="20"/>
                <w:lang w:eastAsia="zh-CN"/>
              </w:rPr>
            </w:pPr>
            <w:r>
              <w:rPr>
                <w:rFonts w:hint="eastAsia"/>
                <w:sz w:val="20"/>
                <w:szCs w:val="20"/>
                <w:lang w:eastAsia="zh-CN"/>
              </w:rPr>
              <w:t xml:space="preserve">BLER of </w:t>
            </w:r>
            <w:r>
              <w:rPr>
                <w:sz w:val="20"/>
                <w:szCs w:val="20"/>
              </w:rPr>
              <w:t>1</w:t>
            </w:r>
            <w:r>
              <w:rPr>
                <w:sz w:val="20"/>
                <w:szCs w:val="20"/>
                <w:vertAlign w:val="superscript"/>
              </w:rPr>
              <w:t>st</w:t>
            </w:r>
          </w:p>
        </w:tc>
        <w:tc>
          <w:tcPr>
            <w:tcW w:w="613" w:type="dxa"/>
          </w:tcPr>
          <w:p>
            <w:pPr>
              <w:snapToGrid w:val="0"/>
              <w:spacing w:before="120" w:after="0" w:line="280" w:lineRule="atLeast"/>
              <w:jc w:val="center"/>
              <w:rPr>
                <w:sz w:val="20"/>
                <w:szCs w:val="20"/>
                <w:lang w:eastAsia="zh-CN"/>
              </w:rPr>
            </w:pPr>
            <w:r>
              <w:rPr>
                <w:rFonts w:hint="eastAsia"/>
                <w:sz w:val="20"/>
                <w:szCs w:val="20"/>
                <w:lang w:eastAsia="zh-CN"/>
              </w:rPr>
              <w:t>RU</w:t>
            </w:r>
          </w:p>
          <w:p>
            <w:pPr>
              <w:snapToGrid w:val="0"/>
              <w:spacing w:before="120" w:after="0" w:line="280" w:lineRule="atLeast"/>
              <w:jc w:val="center"/>
              <w:rPr>
                <w:sz w:val="20"/>
                <w:szCs w:val="20"/>
                <w:lang w:eastAsia="zh-CN"/>
              </w:rPr>
            </w:pPr>
            <w:r>
              <w:rPr>
                <w:rFonts w:hint="eastAsia"/>
                <w:sz w:val="20"/>
                <w:szCs w:val="20"/>
                <w:lang w:eastAsia="zh-CN"/>
              </w:rPr>
              <w:t>(%)</w:t>
            </w:r>
          </w:p>
        </w:tc>
        <w:tc>
          <w:tcPr>
            <w:tcW w:w="1493" w:type="dxa"/>
          </w:tcPr>
          <w:p>
            <w:pPr>
              <w:snapToGrid w:val="0"/>
              <w:spacing w:before="120" w:after="0" w:line="280" w:lineRule="atLeast"/>
              <w:jc w:val="center"/>
              <w:rPr>
                <w:sz w:val="20"/>
                <w:szCs w:val="20"/>
                <w:lang w:eastAsia="zh-CN"/>
              </w:rPr>
            </w:pPr>
            <w:r>
              <w:rPr>
                <w:rFonts w:hint="eastAsia"/>
                <w:sz w:val="20"/>
                <w:szCs w:val="20"/>
                <w:lang w:eastAsia="zh-CN"/>
              </w:rPr>
              <w:t>RU for retransmission (%)</w:t>
            </w:r>
          </w:p>
        </w:tc>
        <w:tc>
          <w:tcPr>
            <w:tcW w:w="1185" w:type="dxa"/>
          </w:tcPr>
          <w:p>
            <w:pPr>
              <w:snapToGrid w:val="0"/>
              <w:spacing w:before="120" w:after="0" w:line="280" w:lineRule="atLeast"/>
              <w:jc w:val="center"/>
              <w:rPr>
                <w:sz w:val="20"/>
                <w:szCs w:val="20"/>
                <w:lang w:eastAsia="zh-CN"/>
              </w:rPr>
            </w:pPr>
            <w:r>
              <w:rPr>
                <w:rFonts w:hint="eastAsia"/>
                <w:sz w:val="20"/>
                <w:szCs w:val="20"/>
                <w:lang w:eastAsia="zh-CN"/>
              </w:rPr>
              <w:t>MCS Predict too large ratio</w:t>
            </w:r>
            <w:r>
              <w:rPr>
                <w:sz w:val="20"/>
                <w:szCs w:val="20"/>
                <w:lang w:eastAsia="zh-CN"/>
              </w:rPr>
              <w:t xml:space="preserve"> </w:t>
            </w:r>
            <w:r>
              <w:rPr>
                <w:rFonts w:hint="eastAsia"/>
                <w:sz w:val="20"/>
                <w:szCs w:val="20"/>
                <w:lang w:eastAsia="zh-CN"/>
              </w:rPr>
              <w:t>(%)</w:t>
            </w:r>
          </w:p>
        </w:tc>
        <w:tc>
          <w:tcPr>
            <w:tcW w:w="1068" w:type="dxa"/>
          </w:tcPr>
          <w:p>
            <w:pPr>
              <w:snapToGrid w:val="0"/>
              <w:spacing w:before="120" w:after="0" w:line="280" w:lineRule="atLeast"/>
              <w:jc w:val="center"/>
              <w:rPr>
                <w:sz w:val="20"/>
                <w:szCs w:val="20"/>
                <w:lang w:eastAsia="zh-CN"/>
              </w:rPr>
            </w:pPr>
            <w:r>
              <w:rPr>
                <w:rFonts w:hint="eastAsia"/>
                <w:sz w:val="20"/>
                <w:szCs w:val="20"/>
                <w:lang w:eastAsia="zh-CN"/>
              </w:rPr>
              <w:t>Report quantity</w:t>
            </w:r>
          </w:p>
        </w:tc>
        <w:tc>
          <w:tcPr>
            <w:tcW w:w="1147" w:type="dxa"/>
          </w:tcPr>
          <w:p>
            <w:pPr>
              <w:snapToGrid w:val="0"/>
              <w:spacing w:before="120" w:after="0" w:line="280" w:lineRule="atLeast"/>
              <w:jc w:val="center"/>
              <w:rPr>
                <w:sz w:val="20"/>
                <w:szCs w:val="20"/>
                <w:lang w:eastAsia="zh-CN"/>
              </w:rPr>
            </w:pPr>
            <w:r>
              <w:rPr>
                <w:rFonts w:hint="eastAsia"/>
                <w:sz w:val="20"/>
                <w:szCs w:val="20"/>
                <w:lang w:eastAsia="zh-CN"/>
              </w:rPr>
              <w:t>CSI-RS overhead</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shd w:val="clear" w:color="auto" w:fill="FFFFFF" w:themeFill="background1"/>
          </w:tcPr>
          <w:p>
            <w:pPr>
              <w:snapToGrid w:val="0"/>
              <w:spacing w:before="120" w:after="0" w:line="280" w:lineRule="atLeast"/>
              <w:jc w:val="center"/>
              <w:rPr>
                <w:sz w:val="20"/>
                <w:szCs w:val="20"/>
                <w:lang w:eastAsia="zh-CN"/>
              </w:rPr>
            </w:pPr>
            <w:bookmarkStart w:id="4" w:name="OLE_LINK14" w:colFirst="0" w:colLast="0"/>
            <w:r>
              <w:rPr>
                <w:rFonts w:hint="eastAsia"/>
                <w:sz w:val="20"/>
                <w:szCs w:val="20"/>
                <w:lang w:eastAsia="zh-CN"/>
              </w:rPr>
              <w:t>Case 0-1</w:t>
            </w:r>
          </w:p>
        </w:tc>
        <w:tc>
          <w:tcPr>
            <w:tcW w:w="118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29.52</w:t>
            </w:r>
          </w:p>
        </w:tc>
        <w:tc>
          <w:tcPr>
            <w:tcW w:w="86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0.4750</w:t>
            </w:r>
          </w:p>
        </w:tc>
        <w:tc>
          <w:tcPr>
            <w:tcW w:w="61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3.52</w:t>
            </w:r>
          </w:p>
        </w:tc>
        <w:tc>
          <w:tcPr>
            <w:tcW w:w="149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1.59</w:t>
            </w:r>
          </w:p>
        </w:tc>
        <w:tc>
          <w:tcPr>
            <w:tcW w:w="1185" w:type="dxa"/>
            <w:shd w:val="clear" w:color="auto" w:fill="FFFFFF" w:themeFill="background1"/>
          </w:tcPr>
          <w:p>
            <w:pPr>
              <w:snapToGrid w:val="0"/>
              <w:spacing w:before="120" w:after="0" w:line="280" w:lineRule="atLeast"/>
              <w:jc w:val="center"/>
              <w:rPr>
                <w:bCs/>
                <w:sz w:val="20"/>
                <w:szCs w:val="20"/>
                <w:lang w:eastAsia="zh-CN"/>
              </w:rPr>
            </w:pPr>
            <w:r>
              <w:rPr>
                <w:sz w:val="20"/>
                <w:szCs w:val="20"/>
                <w:lang w:eastAsia="zh-CN"/>
              </w:rPr>
              <w:t>73.24</w:t>
            </w:r>
          </w:p>
        </w:tc>
        <w:tc>
          <w:tcPr>
            <w:tcW w:w="1068"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WB {PMI, CQI}+RI</w:t>
            </w:r>
          </w:p>
        </w:tc>
        <w:tc>
          <w:tcPr>
            <w:tcW w:w="114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 xml:space="preserve">P CSI-RS with period </w:t>
            </w:r>
            <w:r>
              <w:rPr>
                <w:bCs/>
                <w:sz w:val="20"/>
                <w:szCs w:val="20"/>
                <w:lang w:eastAsia="zh-CN"/>
              </w:rPr>
              <w:t>of</w:t>
            </w:r>
            <w:r>
              <w:rPr>
                <w:rFonts w:hint="eastAsia"/>
                <w:bCs/>
                <w:sz w:val="20"/>
                <w:szCs w:val="20"/>
                <w:lang w:eastAsia="zh-CN"/>
              </w:rPr>
              <w:t xml:space="preserve"> 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shd w:val="clear" w:color="auto" w:fill="FFFFFF" w:themeFill="background1"/>
          </w:tcPr>
          <w:p>
            <w:pPr>
              <w:snapToGrid w:val="0"/>
              <w:spacing w:before="120" w:after="0" w:line="280" w:lineRule="atLeast"/>
              <w:jc w:val="center"/>
              <w:rPr>
                <w:bCs/>
                <w:sz w:val="20"/>
                <w:szCs w:val="20"/>
                <w:lang w:eastAsia="zh-CN"/>
              </w:rPr>
            </w:pPr>
            <w:bookmarkStart w:id="5" w:name="OLE_LINK16" w:colFirst="1" w:colLast="5"/>
            <w:r>
              <w:rPr>
                <w:rFonts w:hint="eastAsia"/>
                <w:sz w:val="20"/>
                <w:szCs w:val="20"/>
                <w:lang w:eastAsia="zh-CN"/>
              </w:rPr>
              <w:t>Case 0-2</w:t>
            </w:r>
          </w:p>
        </w:tc>
        <w:tc>
          <w:tcPr>
            <w:tcW w:w="118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49.52</w:t>
            </w:r>
          </w:p>
        </w:tc>
        <w:tc>
          <w:tcPr>
            <w:tcW w:w="86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0.1692</w:t>
            </w:r>
          </w:p>
        </w:tc>
        <w:tc>
          <w:tcPr>
            <w:tcW w:w="61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1.88</w:t>
            </w:r>
          </w:p>
        </w:tc>
        <w:tc>
          <w:tcPr>
            <w:tcW w:w="149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0.34</w:t>
            </w:r>
          </w:p>
        </w:tc>
        <w:tc>
          <w:tcPr>
            <w:tcW w:w="1185" w:type="dxa"/>
            <w:shd w:val="clear" w:color="auto" w:fill="FFFFFF" w:themeFill="background1"/>
          </w:tcPr>
          <w:p>
            <w:pPr>
              <w:snapToGrid w:val="0"/>
              <w:spacing w:before="120" w:after="0" w:line="280" w:lineRule="atLeast"/>
              <w:jc w:val="center"/>
              <w:rPr>
                <w:bCs/>
                <w:sz w:val="20"/>
                <w:szCs w:val="20"/>
                <w:lang w:eastAsia="zh-CN"/>
              </w:rPr>
            </w:pPr>
            <w:r>
              <w:rPr>
                <w:sz w:val="20"/>
                <w:szCs w:val="20"/>
                <w:lang w:eastAsia="zh-CN"/>
              </w:rPr>
              <w:t>29.73</w:t>
            </w:r>
          </w:p>
        </w:tc>
        <w:tc>
          <w:tcPr>
            <w:tcW w:w="1068"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SB {PMI, CQI}+RI</w:t>
            </w:r>
          </w:p>
        </w:tc>
        <w:tc>
          <w:tcPr>
            <w:tcW w:w="114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 xml:space="preserve">P CSI-RS with period </w:t>
            </w:r>
            <w:r>
              <w:rPr>
                <w:bCs/>
                <w:sz w:val="20"/>
                <w:szCs w:val="20"/>
                <w:lang w:eastAsia="zh-CN"/>
              </w:rPr>
              <w:t>of</w:t>
            </w:r>
            <w:r>
              <w:rPr>
                <w:rFonts w:hint="eastAsia"/>
                <w:bCs/>
                <w:sz w:val="20"/>
                <w:szCs w:val="20"/>
                <w:lang w:eastAsia="zh-CN"/>
              </w:rPr>
              <w:t xml:space="preserve"> 10 slots</w:t>
            </w:r>
          </w:p>
        </w:tc>
      </w:tr>
      <w:bookmarkEnd w:id="4"/>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shd w:val="clear" w:color="auto" w:fill="FFFFFF" w:themeFill="background1"/>
          </w:tcPr>
          <w:p>
            <w:pPr>
              <w:snapToGrid w:val="0"/>
              <w:spacing w:before="120" w:after="0" w:line="280" w:lineRule="atLeast"/>
              <w:jc w:val="center"/>
              <w:rPr>
                <w:sz w:val="20"/>
                <w:szCs w:val="20"/>
                <w:lang w:eastAsia="zh-CN"/>
              </w:rPr>
            </w:pPr>
            <w:r>
              <w:rPr>
                <w:rFonts w:hint="eastAsia"/>
                <w:sz w:val="20"/>
                <w:szCs w:val="20"/>
                <w:lang w:eastAsia="zh-CN"/>
              </w:rPr>
              <w:t>Case 0-3 WB</w:t>
            </w:r>
          </w:p>
        </w:tc>
        <w:tc>
          <w:tcPr>
            <w:tcW w:w="1187" w:type="dxa"/>
            <w:shd w:val="clear" w:color="auto" w:fill="FFFFFF" w:themeFill="background1"/>
          </w:tcPr>
          <w:p>
            <w:pPr>
              <w:snapToGrid w:val="0"/>
              <w:spacing w:before="120" w:after="0" w:line="280" w:lineRule="atLeast"/>
              <w:jc w:val="center"/>
              <w:rPr>
                <w:kern w:val="2"/>
                <w:sz w:val="20"/>
                <w:szCs w:val="20"/>
                <w:lang w:eastAsia="zh-CN"/>
              </w:rPr>
            </w:pPr>
            <w:r>
              <w:rPr>
                <w:rFonts w:hint="eastAsia"/>
                <w:kern w:val="2"/>
                <w:sz w:val="20"/>
                <w:szCs w:val="20"/>
                <w:lang w:eastAsia="zh-CN"/>
              </w:rPr>
              <w:t>30.00</w:t>
            </w:r>
          </w:p>
        </w:tc>
        <w:tc>
          <w:tcPr>
            <w:tcW w:w="867" w:type="dxa"/>
            <w:shd w:val="clear" w:color="auto" w:fill="FFFFFF" w:themeFill="background1"/>
          </w:tcPr>
          <w:p>
            <w:pPr>
              <w:snapToGrid w:val="0"/>
              <w:spacing w:before="120" w:after="0" w:line="280" w:lineRule="atLeast"/>
              <w:jc w:val="center"/>
              <w:rPr>
                <w:kern w:val="2"/>
                <w:sz w:val="20"/>
                <w:szCs w:val="20"/>
                <w:lang w:eastAsia="zh-CN"/>
              </w:rPr>
            </w:pPr>
            <w:r>
              <w:rPr>
                <w:rFonts w:hint="eastAsia"/>
                <w:kern w:val="2"/>
                <w:sz w:val="20"/>
                <w:szCs w:val="20"/>
                <w:lang w:eastAsia="zh-CN"/>
              </w:rPr>
              <w:t>0.4574</w:t>
            </w:r>
          </w:p>
        </w:tc>
        <w:tc>
          <w:tcPr>
            <w:tcW w:w="61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4.74</w:t>
            </w:r>
          </w:p>
        </w:tc>
        <w:tc>
          <w:tcPr>
            <w:tcW w:w="149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1.97</w:t>
            </w:r>
          </w:p>
        </w:tc>
        <w:tc>
          <w:tcPr>
            <w:tcW w:w="1185"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68.07</w:t>
            </w:r>
          </w:p>
        </w:tc>
        <w:tc>
          <w:tcPr>
            <w:tcW w:w="1068" w:type="dxa"/>
            <w:shd w:val="clear" w:color="auto" w:fill="FFFFFF" w:themeFill="background1"/>
          </w:tcPr>
          <w:p>
            <w:pPr>
              <w:snapToGrid w:val="0"/>
              <w:spacing w:before="120" w:after="0" w:line="280" w:lineRule="atLeast"/>
              <w:jc w:val="center"/>
              <w:rPr>
                <w:bCs/>
                <w:sz w:val="20"/>
                <w:szCs w:val="20"/>
                <w:lang w:eastAsia="zh-CN"/>
              </w:rPr>
            </w:pPr>
            <w:bookmarkStart w:id="6" w:name="OLE_LINK11"/>
            <w:r>
              <w:rPr>
                <w:rFonts w:hint="eastAsia"/>
                <w:bCs/>
                <w:sz w:val="20"/>
                <w:szCs w:val="20"/>
                <w:lang w:eastAsia="zh-CN"/>
              </w:rPr>
              <w:t>WB {PMI, CQI}+RI</w:t>
            </w:r>
          </w:p>
        </w:tc>
        <w:tc>
          <w:tcPr>
            <w:tcW w:w="114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A CSI-RS at each PDSCH scheduling</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shd w:val="clear" w:color="auto" w:fill="FFFFFF" w:themeFill="background1"/>
          </w:tcPr>
          <w:p>
            <w:pPr>
              <w:snapToGrid w:val="0"/>
              <w:spacing w:before="120" w:after="0" w:line="280" w:lineRule="atLeast"/>
              <w:jc w:val="center"/>
              <w:rPr>
                <w:sz w:val="20"/>
                <w:szCs w:val="20"/>
                <w:lang w:eastAsia="zh-CN"/>
              </w:rPr>
            </w:pPr>
            <w:r>
              <w:rPr>
                <w:rFonts w:hint="eastAsia"/>
                <w:sz w:val="20"/>
                <w:szCs w:val="20"/>
                <w:lang w:eastAsia="zh-CN"/>
              </w:rPr>
              <w:t>Case 0-3 SB</w:t>
            </w:r>
          </w:p>
        </w:tc>
        <w:tc>
          <w:tcPr>
            <w:tcW w:w="1187" w:type="dxa"/>
            <w:shd w:val="clear" w:color="auto" w:fill="FFFFFF" w:themeFill="background1"/>
          </w:tcPr>
          <w:p>
            <w:pPr>
              <w:snapToGrid w:val="0"/>
              <w:spacing w:before="120" w:after="0" w:line="280" w:lineRule="atLeast"/>
              <w:jc w:val="center"/>
              <w:rPr>
                <w:kern w:val="2"/>
                <w:sz w:val="20"/>
                <w:szCs w:val="20"/>
                <w:lang w:eastAsia="zh-CN"/>
              </w:rPr>
            </w:pPr>
            <w:r>
              <w:rPr>
                <w:rFonts w:hint="eastAsia"/>
                <w:kern w:val="2"/>
                <w:sz w:val="20"/>
                <w:szCs w:val="20"/>
                <w:lang w:eastAsia="zh-CN"/>
              </w:rPr>
              <w:t>52.86</w:t>
            </w:r>
          </w:p>
        </w:tc>
        <w:tc>
          <w:tcPr>
            <w:tcW w:w="867" w:type="dxa"/>
            <w:shd w:val="clear" w:color="auto" w:fill="FFFFFF" w:themeFill="background1"/>
          </w:tcPr>
          <w:p>
            <w:pPr>
              <w:snapToGrid w:val="0"/>
              <w:spacing w:before="120" w:after="0" w:line="280" w:lineRule="atLeast"/>
              <w:jc w:val="center"/>
              <w:rPr>
                <w:kern w:val="2"/>
                <w:sz w:val="20"/>
                <w:szCs w:val="20"/>
                <w:lang w:eastAsia="zh-CN"/>
              </w:rPr>
            </w:pPr>
            <w:r>
              <w:rPr>
                <w:rFonts w:hint="eastAsia"/>
                <w:kern w:val="2"/>
                <w:sz w:val="20"/>
                <w:szCs w:val="20"/>
                <w:lang w:eastAsia="zh-CN"/>
              </w:rPr>
              <w:t>0.1514</w:t>
            </w:r>
          </w:p>
        </w:tc>
        <w:tc>
          <w:tcPr>
            <w:tcW w:w="61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3.09</w:t>
            </w:r>
          </w:p>
        </w:tc>
        <w:tc>
          <w:tcPr>
            <w:tcW w:w="149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0.44</w:t>
            </w:r>
          </w:p>
        </w:tc>
        <w:tc>
          <w:tcPr>
            <w:tcW w:w="1185"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28.91</w:t>
            </w:r>
          </w:p>
        </w:tc>
        <w:tc>
          <w:tcPr>
            <w:tcW w:w="1068"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SB {PMI, CQI}+RI</w:t>
            </w:r>
          </w:p>
        </w:tc>
        <w:tc>
          <w:tcPr>
            <w:tcW w:w="114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A CSI-RS at each PDSCH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shd w:val="clear" w:color="auto" w:fill="FFFFFF" w:themeFill="background1"/>
          </w:tcPr>
          <w:p>
            <w:pPr>
              <w:snapToGrid w:val="0"/>
              <w:spacing w:before="120" w:after="0" w:line="280" w:lineRule="atLeast"/>
              <w:jc w:val="center"/>
              <w:rPr>
                <w:sz w:val="20"/>
                <w:szCs w:val="20"/>
                <w:lang w:eastAsia="zh-CN"/>
              </w:rPr>
            </w:pPr>
            <w:r>
              <w:rPr>
                <w:rFonts w:hint="eastAsia"/>
                <w:sz w:val="20"/>
                <w:szCs w:val="20"/>
                <w:lang w:eastAsia="zh-CN"/>
              </w:rPr>
              <w:t>Case 0-4 WB</w:t>
            </w:r>
          </w:p>
        </w:tc>
        <w:tc>
          <w:tcPr>
            <w:tcW w:w="1187" w:type="dxa"/>
            <w:shd w:val="clear" w:color="auto" w:fill="FFFFFF" w:themeFill="background1"/>
          </w:tcPr>
          <w:p>
            <w:pPr>
              <w:snapToGrid w:val="0"/>
              <w:spacing w:before="120" w:after="0" w:line="280" w:lineRule="atLeast"/>
              <w:jc w:val="center"/>
              <w:rPr>
                <w:kern w:val="2"/>
                <w:sz w:val="20"/>
                <w:szCs w:val="20"/>
                <w:lang w:eastAsia="zh-CN"/>
              </w:rPr>
            </w:pPr>
            <w:r>
              <w:rPr>
                <w:rFonts w:hint="eastAsia"/>
                <w:kern w:val="2"/>
                <w:sz w:val="20"/>
                <w:szCs w:val="20"/>
                <w:lang w:eastAsia="zh-CN"/>
              </w:rPr>
              <w:t>37.14</w:t>
            </w:r>
          </w:p>
        </w:tc>
        <w:tc>
          <w:tcPr>
            <w:tcW w:w="867" w:type="dxa"/>
            <w:shd w:val="clear" w:color="auto" w:fill="FFFFFF" w:themeFill="background1"/>
          </w:tcPr>
          <w:p>
            <w:pPr>
              <w:snapToGrid w:val="0"/>
              <w:spacing w:before="120" w:after="0" w:line="280" w:lineRule="atLeast"/>
              <w:jc w:val="center"/>
              <w:rPr>
                <w:kern w:val="2"/>
                <w:sz w:val="20"/>
                <w:szCs w:val="20"/>
                <w:lang w:eastAsia="zh-CN"/>
              </w:rPr>
            </w:pPr>
            <w:r>
              <w:rPr>
                <w:rFonts w:hint="eastAsia"/>
                <w:kern w:val="2"/>
                <w:sz w:val="20"/>
                <w:szCs w:val="20"/>
                <w:lang w:eastAsia="zh-CN"/>
              </w:rPr>
              <w:t>0.3216</w:t>
            </w:r>
          </w:p>
        </w:tc>
        <w:tc>
          <w:tcPr>
            <w:tcW w:w="61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3.88</w:t>
            </w:r>
          </w:p>
        </w:tc>
        <w:tc>
          <w:tcPr>
            <w:tcW w:w="149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1.32</w:t>
            </w:r>
          </w:p>
        </w:tc>
        <w:tc>
          <w:tcPr>
            <w:tcW w:w="1185"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65.14</w:t>
            </w:r>
          </w:p>
        </w:tc>
        <w:tc>
          <w:tcPr>
            <w:tcW w:w="1068"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WB {PMI, CQI}+RI</w:t>
            </w:r>
          </w:p>
        </w:tc>
        <w:tc>
          <w:tcPr>
            <w:tcW w:w="114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A CSI-RS at each PDSCH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shd w:val="clear" w:color="auto" w:fill="FFFFFF" w:themeFill="background1"/>
          </w:tcPr>
          <w:p>
            <w:pPr>
              <w:snapToGrid w:val="0"/>
              <w:spacing w:before="120" w:after="0" w:line="280" w:lineRule="atLeast"/>
              <w:jc w:val="center"/>
              <w:rPr>
                <w:sz w:val="20"/>
                <w:szCs w:val="20"/>
                <w:lang w:eastAsia="zh-CN"/>
              </w:rPr>
            </w:pPr>
            <w:r>
              <w:rPr>
                <w:rFonts w:hint="eastAsia"/>
                <w:sz w:val="20"/>
                <w:szCs w:val="20"/>
                <w:lang w:eastAsia="zh-CN"/>
              </w:rPr>
              <w:t>Case 0-4 SB</w:t>
            </w:r>
          </w:p>
        </w:tc>
        <w:tc>
          <w:tcPr>
            <w:tcW w:w="1187" w:type="dxa"/>
            <w:shd w:val="clear" w:color="auto" w:fill="FFFFFF" w:themeFill="background1"/>
          </w:tcPr>
          <w:p>
            <w:pPr>
              <w:snapToGrid w:val="0"/>
              <w:spacing w:before="120" w:after="0" w:line="280" w:lineRule="atLeast"/>
              <w:jc w:val="center"/>
              <w:rPr>
                <w:kern w:val="2"/>
                <w:sz w:val="20"/>
                <w:szCs w:val="20"/>
                <w:lang w:eastAsia="zh-CN"/>
              </w:rPr>
            </w:pPr>
            <w:r>
              <w:rPr>
                <w:rFonts w:hint="eastAsia"/>
                <w:kern w:val="2"/>
                <w:sz w:val="20"/>
                <w:szCs w:val="20"/>
                <w:lang w:eastAsia="zh-CN"/>
              </w:rPr>
              <w:t>66.67</w:t>
            </w:r>
          </w:p>
        </w:tc>
        <w:tc>
          <w:tcPr>
            <w:tcW w:w="867" w:type="dxa"/>
            <w:shd w:val="clear" w:color="auto" w:fill="FFFFFF" w:themeFill="background1"/>
          </w:tcPr>
          <w:p>
            <w:pPr>
              <w:snapToGrid w:val="0"/>
              <w:spacing w:before="120" w:after="0" w:line="280" w:lineRule="atLeast"/>
              <w:jc w:val="center"/>
              <w:rPr>
                <w:kern w:val="2"/>
                <w:sz w:val="20"/>
                <w:szCs w:val="20"/>
                <w:lang w:eastAsia="zh-CN"/>
              </w:rPr>
            </w:pPr>
            <w:r>
              <w:rPr>
                <w:rFonts w:hint="eastAsia"/>
                <w:kern w:val="2"/>
                <w:sz w:val="20"/>
                <w:szCs w:val="20"/>
                <w:lang w:eastAsia="zh-CN"/>
              </w:rPr>
              <w:t>0.0943</w:t>
            </w:r>
          </w:p>
        </w:tc>
        <w:tc>
          <w:tcPr>
            <w:tcW w:w="61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2.89</w:t>
            </w:r>
          </w:p>
        </w:tc>
        <w:tc>
          <w:tcPr>
            <w:tcW w:w="1493"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0.27</w:t>
            </w:r>
          </w:p>
        </w:tc>
        <w:tc>
          <w:tcPr>
            <w:tcW w:w="1185"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26.50</w:t>
            </w:r>
          </w:p>
        </w:tc>
        <w:tc>
          <w:tcPr>
            <w:tcW w:w="1068"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SB {PMI, CQI}+RI</w:t>
            </w:r>
          </w:p>
        </w:tc>
        <w:tc>
          <w:tcPr>
            <w:tcW w:w="1147" w:type="dxa"/>
            <w:shd w:val="clear" w:color="auto" w:fill="FFFFFF" w:themeFill="background1"/>
          </w:tcPr>
          <w:p>
            <w:pPr>
              <w:snapToGrid w:val="0"/>
              <w:spacing w:before="120" w:after="0" w:line="280" w:lineRule="atLeast"/>
              <w:jc w:val="center"/>
              <w:rPr>
                <w:bCs/>
                <w:sz w:val="20"/>
                <w:szCs w:val="20"/>
                <w:lang w:eastAsia="zh-CN"/>
              </w:rPr>
            </w:pPr>
            <w:r>
              <w:rPr>
                <w:rFonts w:hint="eastAsia"/>
                <w:bCs/>
                <w:sz w:val="20"/>
                <w:szCs w:val="20"/>
                <w:lang w:eastAsia="zh-CN"/>
              </w:rPr>
              <w:t>A CSI-RS at each PDSCH scheduling</w:t>
            </w:r>
          </w:p>
        </w:tc>
      </w:tr>
    </w:tbl>
    <w:p>
      <w:pPr>
        <w:spacing w:before="120" w:beforeLines="50"/>
        <w:rPr>
          <w:lang w:eastAsia="zh-CN"/>
        </w:rPr>
      </w:pPr>
      <w:r>
        <w:rPr>
          <w:lang w:eastAsia="zh-CN"/>
        </w:rPr>
        <w:t>Case 0-1 is P-CSI feedback with Wideband CSI report, Case 0-2 is SP-CSI feedback with Subband CSI report. These two cases are used as the baseline cases for WB performance comparison and SB performance comparison separately.</w:t>
      </w:r>
    </w:p>
    <w:p>
      <w:pPr>
        <w:rPr>
          <w:lang w:eastAsia="zh-CN"/>
        </w:rPr>
      </w:pPr>
      <w:r>
        <w:rPr>
          <w:lang w:eastAsia="zh-CN"/>
        </w:rPr>
        <w:t>Compared with Case 0-1, A-CSI feedback have better performance than P-CSI feedback case</w:t>
      </w:r>
      <w:r>
        <w:rPr>
          <w:rFonts w:hint="eastAsia"/>
          <w:lang w:eastAsia="zh-CN"/>
        </w:rPr>
        <w:t xml:space="preserve"> </w:t>
      </w:r>
      <w:r>
        <w:rPr>
          <w:lang w:eastAsia="zh-CN"/>
        </w:rPr>
        <w:t xml:space="preserve">in </w:t>
      </w:r>
      <w:r>
        <w:rPr>
          <w:rFonts w:hint="eastAsia"/>
          <w:lang w:eastAsia="zh-CN"/>
        </w:rPr>
        <w:t xml:space="preserve">both </w:t>
      </w:r>
      <w:r>
        <w:rPr>
          <w:lang w:eastAsia="zh-CN"/>
        </w:rPr>
        <w:t xml:space="preserve">Case 0-3 WB and Case 0-4 WB. The performance of Case 0-4 WB is increased by a maximum of 26% compared with Case 0-1 in terms of percentage of UEs satisfying the requirements, at the meanwhile, the BLER of 1st, RU, RU for retransmission and MCS Predict too large ratio are all decreased. </w:t>
      </w:r>
    </w:p>
    <w:p>
      <w:pPr>
        <w:rPr>
          <w:lang w:eastAsia="zh-CN"/>
        </w:rPr>
      </w:pPr>
      <w:r>
        <w:rPr>
          <w:rFonts w:hint="eastAsia"/>
          <w:lang w:eastAsia="zh-CN"/>
        </w:rPr>
        <w:t>Similarly, c</w:t>
      </w:r>
      <w:r>
        <w:rPr>
          <w:lang w:eastAsia="zh-CN"/>
        </w:rPr>
        <w:t>ompared with Case 0-2, A-CSI feedback have better performance than SP-CSI feedback case</w:t>
      </w:r>
      <w:r>
        <w:rPr>
          <w:rFonts w:hint="eastAsia"/>
          <w:lang w:eastAsia="zh-CN"/>
        </w:rPr>
        <w:t xml:space="preserve"> </w:t>
      </w:r>
      <w:r>
        <w:rPr>
          <w:lang w:eastAsia="zh-CN"/>
        </w:rPr>
        <w:t xml:space="preserve">in </w:t>
      </w:r>
      <w:r>
        <w:rPr>
          <w:rFonts w:hint="eastAsia"/>
          <w:lang w:eastAsia="zh-CN"/>
        </w:rPr>
        <w:t xml:space="preserve">both </w:t>
      </w:r>
      <w:r>
        <w:rPr>
          <w:lang w:eastAsia="zh-CN"/>
        </w:rPr>
        <w:t xml:space="preserve">Case 0-3 SB and Case 0-4 SB. The performance of Case 0-4 SB is increased by a maximum of 35% compared with Case 0-2 in terms of percentage of UEs satisfying the requirements, at the meanwhile, the BLER of 1st, RU, RU for retransmission and MCS Predict too large ratio are all decreased. </w:t>
      </w:r>
    </w:p>
    <w:p>
      <w:pPr>
        <w:rPr>
          <w:lang w:eastAsia="zh-CN"/>
        </w:rPr>
      </w:pPr>
      <w:r>
        <w:rPr>
          <w:lang w:eastAsia="zh-CN"/>
        </w:rPr>
        <w:t xml:space="preserve">A-CSI on PUSCH is triggered by UL Grant, while A-CSI on PUCCH is triggered by DL Grant. Therefor A-CSI on PUSCH needs additional PDCCH overhead, which will increase the RU and at the same time bring more interference. So it is observed that A-CSI on PUCCH has better performance than A-CSI on PUSCH. Due to more flexible CSI feedback, both A-CSI on PUSCH and A-CSI on PUCCH have better performance than P/SP-CSI on PUCCH. </w:t>
      </w:r>
    </w:p>
    <w:p>
      <w:pPr>
        <w:rPr>
          <w:i/>
          <w:iCs/>
          <w:lang w:eastAsia="zh-CN"/>
        </w:rPr>
      </w:pPr>
      <w:r>
        <w:rPr>
          <w:b/>
          <w:bCs/>
          <w:i/>
          <w:iCs/>
          <w:lang w:eastAsia="zh-CN"/>
        </w:rPr>
        <w:t>Observation 1:</w:t>
      </w:r>
      <w:r>
        <w:rPr>
          <w:i/>
          <w:iCs/>
          <w:lang w:eastAsia="zh-CN"/>
        </w:rPr>
        <w:t xml:space="preserve"> A-CSI on PUCCH has better performance than A-CSI on PUSCH and P/SP-CSI.</w:t>
      </w:r>
    </w:p>
    <w:p>
      <w:pPr>
        <w:pStyle w:val="3"/>
        <w:rPr>
          <w:lang w:val="en-US" w:eastAsia="zh-CN"/>
        </w:rPr>
      </w:pPr>
      <w:r>
        <w:rPr>
          <w:lang w:val="en-US" w:eastAsia="zh-CN"/>
        </w:rPr>
        <w:t>Evaluation results for Case-1 report</w:t>
      </w:r>
    </w:p>
    <w:p>
      <w:pPr>
        <w:rPr>
          <w:lang w:eastAsia="zh-CN"/>
        </w:rPr>
      </w:pPr>
      <w:r>
        <w:rPr>
          <w:lang w:eastAsia="zh-CN"/>
        </w:rPr>
        <w:t>For Case-1 new reporting, two feedback modes are evaluated. The specific simulation cases are as follows:</w:t>
      </w:r>
    </w:p>
    <w:p>
      <w:pPr>
        <w:rPr>
          <w:lang w:eastAsia="zh-CN"/>
        </w:rPr>
      </w:pPr>
      <w:r>
        <w:rPr>
          <w:lang w:eastAsia="zh-CN"/>
        </w:rPr>
        <w:t xml:space="preserve">Case 1-1: Traditional feedback quantities such as CQI and PMI are reported. The feedback CQI is controlled only by interference filtering operation. For gNB to obtain conservative CQI dynamically, here the interference filtering operation is configured to get the maximum value of interference samples measured in multiple IMR occasions.  </w:t>
      </w:r>
    </w:p>
    <w:p>
      <w:pPr>
        <w:rPr>
          <w:lang w:eastAsia="zh-CN"/>
        </w:rPr>
      </w:pPr>
      <w:r>
        <w:rPr>
          <w:lang w:eastAsia="zh-CN"/>
        </w:rPr>
        <w:t>Case 1-2: In addition to the PMI feedback, some statistical features of the CQI, such as the average CQI and the CQI standard deviation are reported. Then gNB estimates the predict CQI as: Predict CQI = mean(CQI)-std(CQI).</w:t>
      </w:r>
    </w:p>
    <w:p>
      <w:pPr>
        <w:rPr>
          <w:lang w:eastAsia="zh-CN"/>
        </w:rPr>
      </w:pPr>
      <w:r>
        <w:rPr>
          <w:lang w:eastAsia="zh-CN"/>
        </w:rPr>
        <w:t>To compare the performance of the two Case-1 new reporting, we use Case 0-1 and Case 0-2 as the baseline for comparison.</w:t>
      </w:r>
    </w:p>
    <w:p>
      <w:pPr>
        <w:jc w:val="center"/>
        <w:rPr>
          <w:lang w:eastAsia="zh-CN"/>
        </w:rPr>
      </w:pPr>
      <w:r>
        <w:rPr>
          <w:lang w:eastAsia="zh-CN"/>
        </w:rPr>
        <w:t>Table 2 The simulation results for Case-1 reports in R15 AR/VR scenario</w:t>
      </w:r>
    </w:p>
    <w:tbl>
      <w:tblPr>
        <w:tblStyle w:val="51"/>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6"/>
        <w:gridCol w:w="1152"/>
        <w:gridCol w:w="948"/>
        <w:gridCol w:w="612"/>
        <w:gridCol w:w="1488"/>
        <w:gridCol w:w="1366"/>
        <w:gridCol w:w="1158"/>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tcBorders>
              <w:tl2br w:val="single" w:color="auto" w:sz="4" w:space="0"/>
            </w:tcBorders>
          </w:tcPr>
          <w:p>
            <w:pPr>
              <w:snapToGrid w:val="0"/>
              <w:spacing w:before="120" w:after="120" w:line="280" w:lineRule="atLeast"/>
              <w:ind w:firstLine="5000" w:firstLineChars="2500"/>
              <w:rPr>
                <w:bCs/>
                <w:sz w:val="20"/>
                <w:szCs w:val="20"/>
                <w:lang w:eastAsia="zh-CN"/>
              </w:rPr>
            </w:pPr>
            <w:r>
              <w:rPr>
                <w:bCs/>
                <w:sz w:val="20"/>
                <w:szCs w:val="20"/>
                <w:lang w:eastAsia="zh-CN"/>
              </w:rPr>
              <w:t xml:space="preserve"> Cases   </w:t>
            </w:r>
            <w:r>
              <w:rPr>
                <w:rFonts w:hint="eastAsia"/>
                <w:bCs/>
                <w:sz w:val="20"/>
                <w:szCs w:val="20"/>
                <w:lang w:val="en-US" w:eastAsia="zh-CN"/>
              </w:rPr>
              <w:t xml:space="preserve">   </w:t>
            </w:r>
            <w:r>
              <w:rPr>
                <w:bCs/>
                <w:sz w:val="20"/>
                <w:szCs w:val="20"/>
                <w:lang w:eastAsia="zh-CN"/>
              </w:rPr>
              <w:t xml:space="preserve">Metrics     </w:t>
            </w:r>
          </w:p>
        </w:tc>
        <w:tc>
          <w:tcPr>
            <w:tcW w:w="1152" w:type="dxa"/>
          </w:tcPr>
          <w:p>
            <w:pPr>
              <w:snapToGrid w:val="0"/>
              <w:spacing w:before="120" w:after="120" w:line="280" w:lineRule="atLeast"/>
              <w:jc w:val="center"/>
              <w:rPr>
                <w:sz w:val="20"/>
                <w:szCs w:val="20"/>
                <w:lang w:eastAsia="zh-CN"/>
              </w:rPr>
            </w:pPr>
            <w:r>
              <w:rPr>
                <w:sz w:val="20"/>
                <w:szCs w:val="20"/>
                <w:lang w:eastAsia="zh-CN"/>
              </w:rPr>
              <w:t>Percentage</w:t>
            </w:r>
          </w:p>
          <w:p>
            <w:pPr>
              <w:snapToGrid w:val="0"/>
              <w:spacing w:before="120" w:after="120" w:line="280" w:lineRule="atLeast"/>
              <w:jc w:val="center"/>
              <w:rPr>
                <w:sz w:val="20"/>
                <w:szCs w:val="20"/>
                <w:lang w:eastAsia="zh-CN"/>
              </w:rPr>
            </w:pPr>
            <w:r>
              <w:rPr>
                <w:sz w:val="20"/>
                <w:szCs w:val="20"/>
                <w:lang w:eastAsia="zh-CN"/>
              </w:rPr>
              <w:t>(%)</w:t>
            </w:r>
          </w:p>
        </w:tc>
        <w:tc>
          <w:tcPr>
            <w:tcW w:w="948" w:type="dxa"/>
          </w:tcPr>
          <w:p>
            <w:pPr>
              <w:snapToGrid w:val="0"/>
              <w:spacing w:before="120" w:after="120" w:line="280" w:lineRule="atLeast"/>
              <w:jc w:val="center"/>
              <w:rPr>
                <w:sz w:val="20"/>
                <w:szCs w:val="20"/>
                <w:lang w:eastAsia="zh-CN"/>
              </w:rPr>
            </w:pPr>
            <w:r>
              <w:rPr>
                <w:sz w:val="20"/>
                <w:szCs w:val="20"/>
                <w:lang w:eastAsia="zh-CN"/>
              </w:rPr>
              <w:t xml:space="preserve">BLER of </w:t>
            </w:r>
            <w:r>
              <w:rPr>
                <w:sz w:val="20"/>
                <w:szCs w:val="20"/>
              </w:rPr>
              <w:t>1</w:t>
            </w:r>
            <w:r>
              <w:rPr>
                <w:sz w:val="20"/>
                <w:szCs w:val="20"/>
                <w:vertAlign w:val="superscript"/>
              </w:rPr>
              <w:t>st</w:t>
            </w:r>
          </w:p>
        </w:tc>
        <w:tc>
          <w:tcPr>
            <w:tcW w:w="612" w:type="dxa"/>
          </w:tcPr>
          <w:p>
            <w:pPr>
              <w:snapToGrid w:val="0"/>
              <w:spacing w:before="120" w:after="120" w:line="280" w:lineRule="atLeast"/>
              <w:jc w:val="center"/>
              <w:rPr>
                <w:sz w:val="20"/>
                <w:szCs w:val="20"/>
                <w:lang w:eastAsia="zh-CN"/>
              </w:rPr>
            </w:pPr>
            <w:r>
              <w:rPr>
                <w:sz w:val="20"/>
                <w:szCs w:val="20"/>
                <w:lang w:eastAsia="zh-CN"/>
              </w:rPr>
              <w:t>RU</w:t>
            </w:r>
          </w:p>
          <w:p>
            <w:pPr>
              <w:snapToGrid w:val="0"/>
              <w:spacing w:before="120" w:after="120" w:line="280" w:lineRule="atLeast"/>
              <w:jc w:val="center"/>
              <w:rPr>
                <w:sz w:val="20"/>
                <w:szCs w:val="20"/>
                <w:lang w:eastAsia="zh-CN"/>
              </w:rPr>
            </w:pPr>
            <w:r>
              <w:rPr>
                <w:sz w:val="20"/>
                <w:szCs w:val="20"/>
                <w:lang w:eastAsia="zh-CN"/>
              </w:rPr>
              <w:t>(%)</w:t>
            </w:r>
          </w:p>
        </w:tc>
        <w:tc>
          <w:tcPr>
            <w:tcW w:w="1488" w:type="dxa"/>
          </w:tcPr>
          <w:p>
            <w:pPr>
              <w:snapToGrid w:val="0"/>
              <w:spacing w:before="120" w:after="120" w:line="280" w:lineRule="atLeast"/>
              <w:jc w:val="center"/>
              <w:rPr>
                <w:sz w:val="20"/>
                <w:szCs w:val="20"/>
                <w:lang w:eastAsia="zh-CN"/>
              </w:rPr>
            </w:pPr>
            <w:r>
              <w:rPr>
                <w:sz w:val="20"/>
                <w:szCs w:val="20"/>
                <w:lang w:eastAsia="zh-CN"/>
              </w:rPr>
              <w:t>RU for retransmission (%)</w:t>
            </w:r>
          </w:p>
        </w:tc>
        <w:tc>
          <w:tcPr>
            <w:tcW w:w="1366" w:type="dxa"/>
          </w:tcPr>
          <w:p>
            <w:pPr>
              <w:snapToGrid w:val="0"/>
              <w:spacing w:before="120" w:after="120" w:line="280" w:lineRule="atLeast"/>
              <w:jc w:val="center"/>
              <w:rPr>
                <w:sz w:val="20"/>
                <w:szCs w:val="20"/>
                <w:lang w:eastAsia="zh-CN"/>
              </w:rPr>
            </w:pPr>
            <w:r>
              <w:rPr>
                <w:sz w:val="20"/>
                <w:szCs w:val="20"/>
                <w:lang w:eastAsia="zh-CN"/>
              </w:rPr>
              <w:t>MCS Predict too large ratio (%)</w:t>
            </w:r>
          </w:p>
        </w:tc>
        <w:tc>
          <w:tcPr>
            <w:tcW w:w="1158" w:type="dxa"/>
          </w:tcPr>
          <w:p>
            <w:pPr>
              <w:snapToGrid w:val="0"/>
              <w:spacing w:before="120" w:after="120" w:line="280" w:lineRule="atLeast"/>
              <w:jc w:val="center"/>
              <w:rPr>
                <w:sz w:val="20"/>
                <w:szCs w:val="20"/>
                <w:lang w:eastAsia="zh-CN"/>
              </w:rPr>
            </w:pPr>
            <w:r>
              <w:rPr>
                <w:sz w:val="20"/>
                <w:szCs w:val="20"/>
                <w:lang w:eastAsia="zh-CN"/>
              </w:rPr>
              <w:t>Report quantity</w:t>
            </w:r>
          </w:p>
        </w:tc>
        <w:tc>
          <w:tcPr>
            <w:tcW w:w="1080" w:type="dxa"/>
          </w:tcPr>
          <w:p>
            <w:pPr>
              <w:snapToGrid w:val="0"/>
              <w:spacing w:before="120" w:after="120" w:line="280" w:lineRule="atLeast"/>
              <w:rPr>
                <w:sz w:val="20"/>
                <w:szCs w:val="20"/>
                <w:lang w:eastAsia="zh-CN"/>
              </w:rPr>
            </w:pPr>
            <w:r>
              <w:rPr>
                <w:sz w:val="20"/>
                <w:szCs w:val="20"/>
                <w:lang w:eastAsia="zh-CN"/>
              </w:rPr>
              <w:t>CSI-RS</w:t>
            </w:r>
          </w:p>
          <w:p>
            <w:pPr>
              <w:snapToGrid w:val="0"/>
              <w:spacing w:before="120" w:after="120" w:line="280" w:lineRule="atLeast"/>
              <w:rPr>
                <w:sz w:val="20"/>
                <w:szCs w:val="20"/>
                <w:lang w:eastAsia="zh-CN"/>
              </w:rPr>
            </w:pPr>
            <w:r>
              <w:rPr>
                <w:sz w:val="20"/>
                <w:szCs w:val="20"/>
                <w:lang w:eastAsia="zh-CN"/>
              </w:rPr>
              <w:t xml:space="preserve">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shd w:val="clear" w:color="auto" w:fill="FFFFFF" w:themeFill="background1"/>
          </w:tcPr>
          <w:p>
            <w:pPr>
              <w:snapToGrid w:val="0"/>
              <w:spacing w:before="120" w:after="120" w:line="280" w:lineRule="atLeast"/>
              <w:jc w:val="center"/>
              <w:rPr>
                <w:sz w:val="20"/>
                <w:szCs w:val="20"/>
                <w:lang w:eastAsia="zh-CN"/>
              </w:rPr>
            </w:pPr>
            <w:bookmarkStart w:id="7" w:name="OLE_LINK12" w:colFirst="5" w:colLast="5"/>
            <w:r>
              <w:rPr>
                <w:sz w:val="20"/>
                <w:szCs w:val="20"/>
                <w:lang w:eastAsia="zh-CN"/>
              </w:rPr>
              <w:t>Case 0</w:t>
            </w:r>
            <w:r>
              <w:rPr>
                <w:rFonts w:hint="eastAsia"/>
                <w:sz w:val="20"/>
                <w:szCs w:val="20"/>
                <w:lang w:eastAsia="zh-CN"/>
              </w:rPr>
              <w:t>-1</w:t>
            </w:r>
          </w:p>
        </w:tc>
        <w:tc>
          <w:tcPr>
            <w:tcW w:w="1152" w:type="dxa"/>
            <w:shd w:val="clear" w:color="auto" w:fill="FFFFFF" w:themeFill="background1"/>
          </w:tcPr>
          <w:p>
            <w:pPr>
              <w:snapToGrid w:val="0"/>
              <w:spacing w:before="120" w:after="120" w:line="280" w:lineRule="atLeast"/>
              <w:jc w:val="center"/>
              <w:rPr>
                <w:sz w:val="20"/>
                <w:szCs w:val="20"/>
                <w:lang w:eastAsia="zh-CN"/>
              </w:rPr>
            </w:pPr>
            <w:r>
              <w:rPr>
                <w:bCs/>
                <w:sz w:val="20"/>
                <w:szCs w:val="20"/>
                <w:lang w:eastAsia="zh-CN"/>
              </w:rPr>
              <w:t>29.52</w:t>
            </w:r>
          </w:p>
        </w:tc>
        <w:tc>
          <w:tcPr>
            <w:tcW w:w="948" w:type="dxa"/>
            <w:shd w:val="clear" w:color="auto" w:fill="FFFFFF" w:themeFill="background1"/>
          </w:tcPr>
          <w:p>
            <w:pPr>
              <w:snapToGrid w:val="0"/>
              <w:spacing w:before="120" w:after="120" w:line="280" w:lineRule="atLeast"/>
              <w:jc w:val="center"/>
              <w:rPr>
                <w:sz w:val="20"/>
                <w:szCs w:val="20"/>
                <w:lang w:eastAsia="zh-CN"/>
              </w:rPr>
            </w:pPr>
            <w:r>
              <w:rPr>
                <w:bCs/>
                <w:sz w:val="20"/>
                <w:szCs w:val="20"/>
                <w:lang w:eastAsia="zh-CN"/>
              </w:rPr>
              <w:t>0.4750</w:t>
            </w:r>
          </w:p>
        </w:tc>
        <w:tc>
          <w:tcPr>
            <w:tcW w:w="612" w:type="dxa"/>
            <w:shd w:val="clear" w:color="auto" w:fill="FFFFFF" w:themeFill="background1"/>
          </w:tcPr>
          <w:p>
            <w:pPr>
              <w:snapToGrid w:val="0"/>
              <w:spacing w:before="120" w:after="120" w:line="280" w:lineRule="atLeast"/>
              <w:jc w:val="center"/>
              <w:rPr>
                <w:sz w:val="20"/>
                <w:szCs w:val="20"/>
                <w:lang w:eastAsia="zh-CN"/>
              </w:rPr>
            </w:pPr>
            <w:r>
              <w:rPr>
                <w:bCs/>
                <w:sz w:val="20"/>
                <w:szCs w:val="20"/>
                <w:lang w:eastAsia="zh-CN"/>
              </w:rPr>
              <w:t>3.52</w:t>
            </w:r>
          </w:p>
        </w:tc>
        <w:tc>
          <w:tcPr>
            <w:tcW w:w="1488" w:type="dxa"/>
            <w:shd w:val="clear" w:color="auto" w:fill="FFFFFF" w:themeFill="background1"/>
          </w:tcPr>
          <w:p>
            <w:pPr>
              <w:snapToGrid w:val="0"/>
              <w:spacing w:before="120" w:after="120" w:line="280" w:lineRule="atLeast"/>
              <w:jc w:val="center"/>
              <w:rPr>
                <w:sz w:val="20"/>
                <w:szCs w:val="20"/>
                <w:lang w:eastAsia="zh-CN"/>
              </w:rPr>
            </w:pPr>
            <w:r>
              <w:rPr>
                <w:bCs/>
                <w:sz w:val="20"/>
                <w:szCs w:val="20"/>
                <w:lang w:eastAsia="zh-CN"/>
              </w:rPr>
              <w:t>1.59</w:t>
            </w:r>
          </w:p>
        </w:tc>
        <w:tc>
          <w:tcPr>
            <w:tcW w:w="1366" w:type="dxa"/>
            <w:shd w:val="clear" w:color="auto" w:fill="FFFFFF" w:themeFill="background1"/>
          </w:tcPr>
          <w:p>
            <w:pPr>
              <w:snapToGrid w:val="0"/>
              <w:spacing w:before="120" w:after="120" w:line="280" w:lineRule="atLeast"/>
              <w:jc w:val="center"/>
              <w:rPr>
                <w:bCs/>
                <w:sz w:val="20"/>
                <w:szCs w:val="20"/>
                <w:lang w:eastAsia="zh-CN"/>
              </w:rPr>
            </w:pPr>
            <w:r>
              <w:rPr>
                <w:sz w:val="20"/>
                <w:szCs w:val="20"/>
                <w:lang w:eastAsia="zh-CN"/>
              </w:rPr>
              <w:t>73.24</w:t>
            </w:r>
          </w:p>
        </w:tc>
        <w:tc>
          <w:tcPr>
            <w:tcW w:w="1158" w:type="dxa"/>
            <w:shd w:val="clear" w:color="auto" w:fill="FFFFFF" w:themeFill="background1"/>
          </w:tcPr>
          <w:p>
            <w:pPr>
              <w:snapToGrid w:val="0"/>
              <w:spacing w:before="120" w:after="120" w:line="280" w:lineRule="atLeast"/>
              <w:jc w:val="center"/>
              <w:rPr>
                <w:bCs/>
                <w:sz w:val="20"/>
                <w:szCs w:val="20"/>
                <w:lang w:eastAsia="zh-CN"/>
              </w:rPr>
            </w:pPr>
            <w:r>
              <w:rPr>
                <w:bCs/>
                <w:sz w:val="20"/>
                <w:szCs w:val="20"/>
                <w:lang w:eastAsia="zh-CN"/>
              </w:rPr>
              <w:t>WB {PMI, CQI}+RI</w:t>
            </w:r>
          </w:p>
        </w:tc>
        <w:tc>
          <w:tcPr>
            <w:tcW w:w="1080" w:type="dxa"/>
            <w:shd w:val="clear" w:color="auto" w:fill="FFFFFF" w:themeFill="background1"/>
          </w:tcPr>
          <w:p>
            <w:pPr>
              <w:snapToGrid w:val="0"/>
              <w:spacing w:before="120" w:after="120" w:line="280" w:lineRule="atLeast"/>
              <w:rPr>
                <w:bCs/>
                <w:sz w:val="20"/>
                <w:szCs w:val="20"/>
                <w:lang w:eastAsia="zh-CN"/>
              </w:rPr>
            </w:pPr>
            <w:r>
              <w:rPr>
                <w:bCs/>
                <w:sz w:val="20"/>
                <w:szCs w:val="20"/>
                <w:lang w:eastAsia="zh-CN"/>
              </w:rPr>
              <w:t xml:space="preserve">P CSI-RS with period </w:t>
            </w:r>
            <w:r>
              <w:rPr>
                <w:rFonts w:hint="eastAsia"/>
                <w:bCs/>
                <w:sz w:val="20"/>
                <w:szCs w:val="20"/>
                <w:lang w:eastAsia="zh-CN"/>
              </w:rPr>
              <w:t>of</w:t>
            </w:r>
            <w:r>
              <w:rPr>
                <w:bCs/>
                <w:sz w:val="20"/>
                <w:szCs w:val="20"/>
                <w:lang w:eastAsia="zh-CN"/>
              </w:rPr>
              <w:t xml:space="preserve"> 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shd w:val="clear" w:color="auto" w:fill="FFFFFF" w:themeFill="background1"/>
          </w:tcPr>
          <w:p>
            <w:pPr>
              <w:snapToGrid w:val="0"/>
              <w:spacing w:before="120" w:after="120" w:line="280" w:lineRule="atLeast"/>
              <w:jc w:val="center"/>
              <w:rPr>
                <w:bCs/>
                <w:sz w:val="20"/>
                <w:szCs w:val="20"/>
                <w:lang w:eastAsia="zh-CN"/>
              </w:rPr>
            </w:pPr>
            <w:r>
              <w:rPr>
                <w:sz w:val="20"/>
                <w:szCs w:val="20"/>
                <w:lang w:eastAsia="zh-CN"/>
              </w:rPr>
              <w:t>Case 0</w:t>
            </w:r>
            <w:r>
              <w:rPr>
                <w:rFonts w:hint="eastAsia"/>
                <w:sz w:val="20"/>
                <w:szCs w:val="20"/>
                <w:lang w:eastAsia="zh-CN"/>
              </w:rPr>
              <w:t>-2</w:t>
            </w:r>
          </w:p>
        </w:tc>
        <w:tc>
          <w:tcPr>
            <w:tcW w:w="1152" w:type="dxa"/>
            <w:shd w:val="clear" w:color="auto" w:fill="FFFFFF" w:themeFill="background1"/>
          </w:tcPr>
          <w:p>
            <w:pPr>
              <w:snapToGrid w:val="0"/>
              <w:spacing w:before="120" w:after="120" w:line="280" w:lineRule="atLeast"/>
              <w:jc w:val="center"/>
              <w:rPr>
                <w:sz w:val="20"/>
                <w:szCs w:val="20"/>
                <w:lang w:eastAsia="zh-CN"/>
              </w:rPr>
            </w:pPr>
            <w:r>
              <w:rPr>
                <w:bCs/>
                <w:sz w:val="20"/>
                <w:szCs w:val="20"/>
                <w:lang w:eastAsia="zh-CN"/>
              </w:rPr>
              <w:t>49.52</w:t>
            </w:r>
          </w:p>
        </w:tc>
        <w:tc>
          <w:tcPr>
            <w:tcW w:w="948" w:type="dxa"/>
            <w:shd w:val="clear" w:color="auto" w:fill="FFFFFF" w:themeFill="background1"/>
          </w:tcPr>
          <w:p>
            <w:pPr>
              <w:snapToGrid w:val="0"/>
              <w:spacing w:before="120" w:after="120" w:line="280" w:lineRule="atLeast"/>
              <w:jc w:val="center"/>
              <w:rPr>
                <w:sz w:val="20"/>
                <w:szCs w:val="20"/>
                <w:lang w:eastAsia="zh-CN"/>
              </w:rPr>
            </w:pPr>
            <w:r>
              <w:rPr>
                <w:bCs/>
                <w:sz w:val="20"/>
                <w:szCs w:val="20"/>
                <w:lang w:eastAsia="zh-CN"/>
              </w:rPr>
              <w:t>0.1692</w:t>
            </w:r>
          </w:p>
        </w:tc>
        <w:tc>
          <w:tcPr>
            <w:tcW w:w="612" w:type="dxa"/>
            <w:shd w:val="clear" w:color="auto" w:fill="FFFFFF" w:themeFill="background1"/>
          </w:tcPr>
          <w:p>
            <w:pPr>
              <w:snapToGrid w:val="0"/>
              <w:spacing w:before="120" w:after="120" w:line="280" w:lineRule="atLeast"/>
              <w:jc w:val="center"/>
              <w:rPr>
                <w:sz w:val="20"/>
                <w:szCs w:val="20"/>
                <w:lang w:eastAsia="zh-CN"/>
              </w:rPr>
            </w:pPr>
            <w:r>
              <w:rPr>
                <w:bCs/>
                <w:sz w:val="20"/>
                <w:szCs w:val="20"/>
                <w:lang w:eastAsia="zh-CN"/>
              </w:rPr>
              <w:t>1.88</w:t>
            </w:r>
          </w:p>
        </w:tc>
        <w:tc>
          <w:tcPr>
            <w:tcW w:w="1488" w:type="dxa"/>
            <w:shd w:val="clear" w:color="auto" w:fill="FFFFFF" w:themeFill="background1"/>
          </w:tcPr>
          <w:p>
            <w:pPr>
              <w:snapToGrid w:val="0"/>
              <w:spacing w:before="120" w:after="120" w:line="280" w:lineRule="atLeast"/>
              <w:jc w:val="center"/>
              <w:rPr>
                <w:sz w:val="20"/>
                <w:szCs w:val="20"/>
                <w:lang w:eastAsia="zh-CN"/>
              </w:rPr>
            </w:pPr>
            <w:r>
              <w:rPr>
                <w:bCs/>
                <w:sz w:val="20"/>
                <w:szCs w:val="20"/>
                <w:lang w:eastAsia="zh-CN"/>
              </w:rPr>
              <w:t>0.34</w:t>
            </w:r>
          </w:p>
        </w:tc>
        <w:tc>
          <w:tcPr>
            <w:tcW w:w="1366" w:type="dxa"/>
            <w:shd w:val="clear" w:color="auto" w:fill="FFFFFF" w:themeFill="background1"/>
          </w:tcPr>
          <w:p>
            <w:pPr>
              <w:snapToGrid w:val="0"/>
              <w:spacing w:before="120" w:after="120" w:line="280" w:lineRule="atLeast"/>
              <w:jc w:val="center"/>
              <w:rPr>
                <w:bCs/>
                <w:sz w:val="20"/>
                <w:szCs w:val="20"/>
                <w:lang w:eastAsia="zh-CN"/>
              </w:rPr>
            </w:pPr>
            <w:r>
              <w:rPr>
                <w:sz w:val="20"/>
                <w:szCs w:val="20"/>
                <w:lang w:eastAsia="zh-CN"/>
              </w:rPr>
              <w:t>29.73</w:t>
            </w:r>
          </w:p>
        </w:tc>
        <w:tc>
          <w:tcPr>
            <w:tcW w:w="1158" w:type="dxa"/>
            <w:shd w:val="clear" w:color="auto" w:fill="FFFFFF" w:themeFill="background1"/>
          </w:tcPr>
          <w:p>
            <w:pPr>
              <w:snapToGrid w:val="0"/>
              <w:spacing w:before="120" w:after="120" w:line="280" w:lineRule="atLeast"/>
              <w:jc w:val="center"/>
              <w:rPr>
                <w:bCs/>
                <w:sz w:val="20"/>
                <w:szCs w:val="20"/>
                <w:lang w:eastAsia="zh-CN"/>
              </w:rPr>
            </w:pPr>
            <w:r>
              <w:rPr>
                <w:bCs/>
                <w:sz w:val="20"/>
                <w:szCs w:val="20"/>
                <w:lang w:eastAsia="zh-CN"/>
              </w:rPr>
              <w:t>SB {PMI, CQI}+RI</w:t>
            </w:r>
          </w:p>
        </w:tc>
        <w:tc>
          <w:tcPr>
            <w:tcW w:w="1080" w:type="dxa"/>
            <w:shd w:val="clear" w:color="auto" w:fill="FFFFFF" w:themeFill="background1"/>
          </w:tcPr>
          <w:p>
            <w:pPr>
              <w:snapToGrid w:val="0"/>
              <w:spacing w:before="120" w:after="120" w:line="280" w:lineRule="atLeast"/>
              <w:rPr>
                <w:bCs/>
                <w:sz w:val="20"/>
                <w:szCs w:val="20"/>
                <w:lang w:eastAsia="zh-CN"/>
              </w:rPr>
            </w:pPr>
            <w:bookmarkStart w:id="8" w:name="OLE_LINK21"/>
            <w:r>
              <w:rPr>
                <w:bCs/>
                <w:sz w:val="20"/>
                <w:szCs w:val="20"/>
                <w:lang w:eastAsia="zh-CN"/>
              </w:rPr>
              <w:t xml:space="preserve">P CSI-RS with period </w:t>
            </w:r>
            <w:r>
              <w:rPr>
                <w:rFonts w:hint="eastAsia"/>
                <w:bCs/>
                <w:sz w:val="20"/>
                <w:szCs w:val="20"/>
                <w:lang w:eastAsia="zh-CN"/>
              </w:rPr>
              <w:t>of</w:t>
            </w:r>
            <w:r>
              <w:rPr>
                <w:bCs/>
                <w:sz w:val="20"/>
                <w:szCs w:val="20"/>
                <w:lang w:eastAsia="zh-CN"/>
              </w:rPr>
              <w:t xml:space="preserve"> 10 slots</w:t>
            </w:r>
            <w:bookmarkEnd w:id="8"/>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Case 1</w:t>
            </w:r>
            <w:r>
              <w:rPr>
                <w:rFonts w:hint="eastAsia"/>
                <w:sz w:val="20"/>
                <w:szCs w:val="20"/>
                <w:lang w:eastAsia="zh-CN"/>
              </w:rPr>
              <w:t>-1 WB</w:t>
            </w:r>
          </w:p>
        </w:tc>
        <w:tc>
          <w:tcPr>
            <w:tcW w:w="1152"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48.58</w:t>
            </w:r>
          </w:p>
        </w:tc>
        <w:tc>
          <w:tcPr>
            <w:tcW w:w="948"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0.2369</w:t>
            </w:r>
          </w:p>
        </w:tc>
        <w:tc>
          <w:tcPr>
            <w:tcW w:w="612"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3.80</w:t>
            </w:r>
          </w:p>
        </w:tc>
        <w:tc>
          <w:tcPr>
            <w:tcW w:w="1488"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0.81</w:t>
            </w:r>
          </w:p>
        </w:tc>
        <w:tc>
          <w:tcPr>
            <w:tcW w:w="1366"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41.97</w:t>
            </w:r>
          </w:p>
        </w:tc>
        <w:tc>
          <w:tcPr>
            <w:tcW w:w="1158" w:type="dxa"/>
            <w:shd w:val="clear" w:color="auto" w:fill="FFFFFF" w:themeFill="background1"/>
          </w:tcPr>
          <w:p>
            <w:pPr>
              <w:snapToGrid w:val="0"/>
              <w:spacing w:before="120" w:after="120" w:line="280" w:lineRule="atLeast"/>
              <w:jc w:val="center"/>
              <w:rPr>
                <w:bCs/>
                <w:sz w:val="20"/>
                <w:szCs w:val="20"/>
                <w:lang w:eastAsia="zh-CN"/>
              </w:rPr>
            </w:pPr>
            <w:r>
              <w:rPr>
                <w:bCs/>
                <w:sz w:val="20"/>
                <w:szCs w:val="20"/>
                <w:lang w:eastAsia="zh-CN"/>
              </w:rPr>
              <w:t>WB {PMI, min(CQI)}+RI</w:t>
            </w:r>
          </w:p>
        </w:tc>
        <w:tc>
          <w:tcPr>
            <w:tcW w:w="1080" w:type="dxa"/>
            <w:shd w:val="clear" w:color="auto" w:fill="FFFFFF" w:themeFill="background1"/>
          </w:tcPr>
          <w:p>
            <w:pPr>
              <w:snapToGrid w:val="0"/>
              <w:spacing w:before="120" w:after="120" w:line="280" w:lineRule="atLeast"/>
              <w:rPr>
                <w:bCs/>
                <w:sz w:val="20"/>
                <w:szCs w:val="20"/>
                <w:lang w:eastAsia="zh-CN"/>
              </w:rPr>
            </w:pPr>
            <w:r>
              <w:rPr>
                <w:bCs/>
                <w:sz w:val="20"/>
                <w:szCs w:val="20"/>
                <w:lang w:eastAsia="zh-CN"/>
              </w:rPr>
              <w:t xml:space="preserve">P CSI-RS with period </w:t>
            </w:r>
            <w:r>
              <w:rPr>
                <w:rFonts w:hint="eastAsia"/>
                <w:bCs/>
                <w:sz w:val="20"/>
                <w:szCs w:val="20"/>
                <w:lang w:eastAsia="zh-CN"/>
              </w:rPr>
              <w:t>of</w:t>
            </w:r>
            <w:r>
              <w:rPr>
                <w:bCs/>
                <w:sz w:val="20"/>
                <w:szCs w:val="20"/>
                <w:lang w:eastAsia="zh-CN"/>
              </w:rPr>
              <w:t xml:space="preserve"> 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Case 1</w:t>
            </w:r>
            <w:r>
              <w:rPr>
                <w:rFonts w:hint="eastAsia"/>
                <w:sz w:val="20"/>
                <w:szCs w:val="20"/>
                <w:lang w:eastAsia="zh-CN"/>
              </w:rPr>
              <w:t>-1 SB</w:t>
            </w:r>
          </w:p>
        </w:tc>
        <w:tc>
          <w:tcPr>
            <w:tcW w:w="1152"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57.62</w:t>
            </w:r>
          </w:p>
        </w:tc>
        <w:tc>
          <w:tcPr>
            <w:tcW w:w="948"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0.1239</w:t>
            </w:r>
          </w:p>
        </w:tc>
        <w:tc>
          <w:tcPr>
            <w:tcW w:w="612"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2.25</w:t>
            </w:r>
          </w:p>
        </w:tc>
        <w:tc>
          <w:tcPr>
            <w:tcW w:w="1488"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0.30</w:t>
            </w:r>
          </w:p>
        </w:tc>
        <w:tc>
          <w:tcPr>
            <w:tcW w:w="1366"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22.97</w:t>
            </w:r>
          </w:p>
        </w:tc>
        <w:tc>
          <w:tcPr>
            <w:tcW w:w="1158" w:type="dxa"/>
            <w:shd w:val="clear" w:color="auto" w:fill="FFFFFF" w:themeFill="background1"/>
          </w:tcPr>
          <w:p>
            <w:pPr>
              <w:snapToGrid w:val="0"/>
              <w:spacing w:before="120" w:after="120" w:line="280" w:lineRule="atLeast"/>
              <w:jc w:val="center"/>
              <w:rPr>
                <w:bCs/>
                <w:sz w:val="20"/>
                <w:szCs w:val="20"/>
                <w:lang w:eastAsia="zh-CN"/>
              </w:rPr>
            </w:pPr>
            <w:r>
              <w:rPr>
                <w:bCs/>
                <w:sz w:val="20"/>
                <w:szCs w:val="20"/>
                <w:lang w:eastAsia="zh-CN"/>
              </w:rPr>
              <w:t>SB {PMI, min(CQI)}+RI</w:t>
            </w:r>
          </w:p>
        </w:tc>
        <w:tc>
          <w:tcPr>
            <w:tcW w:w="1080" w:type="dxa"/>
            <w:shd w:val="clear" w:color="auto" w:fill="FFFFFF" w:themeFill="background1"/>
          </w:tcPr>
          <w:p>
            <w:pPr>
              <w:snapToGrid w:val="0"/>
              <w:spacing w:before="120" w:after="120" w:line="280" w:lineRule="atLeast"/>
              <w:rPr>
                <w:bCs/>
                <w:sz w:val="20"/>
                <w:szCs w:val="20"/>
                <w:lang w:eastAsia="zh-CN"/>
              </w:rPr>
            </w:pPr>
            <w:r>
              <w:rPr>
                <w:bCs/>
                <w:sz w:val="20"/>
                <w:szCs w:val="20"/>
                <w:lang w:eastAsia="zh-CN"/>
              </w:rPr>
              <w:t xml:space="preserve">P CSI-RS with period </w:t>
            </w:r>
            <w:r>
              <w:rPr>
                <w:rFonts w:hint="eastAsia"/>
                <w:bCs/>
                <w:sz w:val="20"/>
                <w:szCs w:val="20"/>
                <w:lang w:eastAsia="zh-CN"/>
              </w:rPr>
              <w:t>of</w:t>
            </w:r>
            <w:r>
              <w:rPr>
                <w:bCs/>
                <w:sz w:val="20"/>
                <w:szCs w:val="20"/>
                <w:lang w:eastAsia="zh-CN"/>
              </w:rPr>
              <w:t xml:space="preserve"> 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shd w:val="clear" w:color="auto" w:fill="FFFFFF" w:themeFill="background1"/>
          </w:tcPr>
          <w:p>
            <w:pPr>
              <w:snapToGrid w:val="0"/>
              <w:spacing w:before="120" w:after="120" w:line="280" w:lineRule="atLeast"/>
              <w:jc w:val="center"/>
              <w:rPr>
                <w:bCs/>
                <w:sz w:val="20"/>
                <w:szCs w:val="20"/>
                <w:lang w:eastAsia="zh-CN"/>
              </w:rPr>
            </w:pPr>
            <w:r>
              <w:rPr>
                <w:sz w:val="20"/>
                <w:szCs w:val="20"/>
                <w:lang w:eastAsia="zh-CN"/>
              </w:rPr>
              <w:t>Case 1</w:t>
            </w:r>
            <w:r>
              <w:rPr>
                <w:rFonts w:hint="eastAsia"/>
                <w:sz w:val="20"/>
                <w:szCs w:val="20"/>
                <w:lang w:eastAsia="zh-CN"/>
              </w:rPr>
              <w:t>-2 WB</w:t>
            </w:r>
          </w:p>
        </w:tc>
        <w:tc>
          <w:tcPr>
            <w:tcW w:w="1152"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30.48</w:t>
            </w:r>
          </w:p>
        </w:tc>
        <w:tc>
          <w:tcPr>
            <w:tcW w:w="948"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0.3277</w:t>
            </w:r>
          </w:p>
        </w:tc>
        <w:tc>
          <w:tcPr>
            <w:tcW w:w="612"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3.63</w:t>
            </w:r>
          </w:p>
        </w:tc>
        <w:tc>
          <w:tcPr>
            <w:tcW w:w="1488"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1.13</w:t>
            </w:r>
          </w:p>
        </w:tc>
        <w:tc>
          <w:tcPr>
            <w:tcW w:w="1366"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55.12</w:t>
            </w:r>
          </w:p>
        </w:tc>
        <w:tc>
          <w:tcPr>
            <w:tcW w:w="1158" w:type="dxa"/>
            <w:shd w:val="clear" w:color="auto" w:fill="FFFFFF" w:themeFill="background1"/>
          </w:tcPr>
          <w:p>
            <w:pPr>
              <w:snapToGrid w:val="0"/>
              <w:spacing w:before="120" w:after="120" w:line="280" w:lineRule="atLeast"/>
              <w:jc w:val="center"/>
              <w:rPr>
                <w:bCs/>
                <w:sz w:val="20"/>
                <w:szCs w:val="20"/>
                <w:lang w:eastAsia="zh-CN"/>
              </w:rPr>
            </w:pPr>
            <w:bookmarkStart w:id="9" w:name="OLE_LINK5"/>
            <w:r>
              <w:rPr>
                <w:bCs/>
                <w:sz w:val="20"/>
                <w:szCs w:val="20"/>
                <w:lang w:eastAsia="zh-CN"/>
              </w:rPr>
              <w:t>WB { PMI, mean(CQI), std(CQI)}+RI</w:t>
            </w:r>
            <w:bookmarkEnd w:id="9"/>
          </w:p>
        </w:tc>
        <w:tc>
          <w:tcPr>
            <w:tcW w:w="1080" w:type="dxa"/>
            <w:shd w:val="clear" w:color="auto" w:fill="FFFFFF" w:themeFill="background1"/>
          </w:tcPr>
          <w:p>
            <w:pPr>
              <w:snapToGrid w:val="0"/>
              <w:spacing w:before="120" w:after="120" w:line="280" w:lineRule="atLeast"/>
              <w:rPr>
                <w:bCs/>
                <w:sz w:val="20"/>
                <w:szCs w:val="20"/>
                <w:lang w:eastAsia="zh-CN"/>
              </w:rPr>
            </w:pPr>
            <w:r>
              <w:rPr>
                <w:bCs/>
                <w:sz w:val="20"/>
                <w:szCs w:val="20"/>
                <w:lang w:eastAsia="zh-CN"/>
              </w:rPr>
              <w:t xml:space="preserve">P CSI-RS with period </w:t>
            </w:r>
            <w:r>
              <w:rPr>
                <w:rFonts w:hint="eastAsia"/>
                <w:bCs/>
                <w:sz w:val="20"/>
                <w:szCs w:val="20"/>
                <w:lang w:eastAsia="zh-CN"/>
              </w:rPr>
              <w:t>of</w:t>
            </w:r>
            <w:r>
              <w:rPr>
                <w:bCs/>
                <w:sz w:val="20"/>
                <w:szCs w:val="20"/>
                <w:lang w:eastAsia="zh-CN"/>
              </w:rPr>
              <w:t xml:space="preserve"> 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Case 1</w:t>
            </w:r>
            <w:r>
              <w:rPr>
                <w:rFonts w:hint="eastAsia"/>
                <w:sz w:val="20"/>
                <w:szCs w:val="20"/>
                <w:lang w:eastAsia="zh-CN"/>
              </w:rPr>
              <w:t>-2 SB</w:t>
            </w:r>
          </w:p>
        </w:tc>
        <w:tc>
          <w:tcPr>
            <w:tcW w:w="1152"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30.95</w:t>
            </w:r>
          </w:p>
        </w:tc>
        <w:tc>
          <w:tcPr>
            <w:tcW w:w="948"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0.2650</w:t>
            </w:r>
          </w:p>
        </w:tc>
        <w:tc>
          <w:tcPr>
            <w:tcW w:w="612"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2.87</w:t>
            </w:r>
          </w:p>
        </w:tc>
        <w:tc>
          <w:tcPr>
            <w:tcW w:w="1488"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0.85</w:t>
            </w:r>
          </w:p>
        </w:tc>
        <w:tc>
          <w:tcPr>
            <w:tcW w:w="1366" w:type="dxa"/>
            <w:shd w:val="clear" w:color="auto" w:fill="FFFFFF" w:themeFill="background1"/>
          </w:tcPr>
          <w:p>
            <w:pPr>
              <w:snapToGrid w:val="0"/>
              <w:spacing w:before="120" w:after="120" w:line="280" w:lineRule="atLeast"/>
              <w:jc w:val="center"/>
              <w:rPr>
                <w:sz w:val="20"/>
                <w:szCs w:val="20"/>
                <w:lang w:eastAsia="zh-CN"/>
              </w:rPr>
            </w:pPr>
            <w:r>
              <w:rPr>
                <w:sz w:val="20"/>
                <w:szCs w:val="20"/>
                <w:lang w:eastAsia="zh-CN"/>
              </w:rPr>
              <w:t>47.77</w:t>
            </w:r>
          </w:p>
        </w:tc>
        <w:tc>
          <w:tcPr>
            <w:tcW w:w="1158" w:type="dxa"/>
            <w:shd w:val="clear" w:color="auto" w:fill="FFFFFF" w:themeFill="background1"/>
          </w:tcPr>
          <w:p>
            <w:pPr>
              <w:snapToGrid w:val="0"/>
              <w:spacing w:before="120" w:after="120" w:line="280" w:lineRule="atLeast"/>
              <w:jc w:val="center"/>
              <w:rPr>
                <w:bCs/>
                <w:sz w:val="20"/>
                <w:szCs w:val="20"/>
                <w:lang w:eastAsia="zh-CN"/>
              </w:rPr>
            </w:pPr>
            <w:r>
              <w:rPr>
                <w:bCs/>
                <w:sz w:val="20"/>
                <w:szCs w:val="20"/>
                <w:lang w:eastAsia="zh-CN"/>
              </w:rPr>
              <w:t>SB { PMI, mean(CQI), std(CQI)}+RI</w:t>
            </w:r>
          </w:p>
        </w:tc>
        <w:tc>
          <w:tcPr>
            <w:tcW w:w="1080" w:type="dxa"/>
            <w:shd w:val="clear" w:color="auto" w:fill="FFFFFF" w:themeFill="background1"/>
          </w:tcPr>
          <w:p>
            <w:pPr>
              <w:snapToGrid w:val="0"/>
              <w:spacing w:before="120" w:after="120" w:line="280" w:lineRule="atLeast"/>
              <w:rPr>
                <w:bCs/>
                <w:sz w:val="20"/>
                <w:szCs w:val="20"/>
                <w:lang w:eastAsia="zh-CN"/>
              </w:rPr>
            </w:pPr>
            <w:r>
              <w:rPr>
                <w:bCs/>
                <w:sz w:val="20"/>
                <w:szCs w:val="20"/>
                <w:lang w:eastAsia="zh-CN"/>
              </w:rPr>
              <w:t xml:space="preserve">P CSI-RS with period </w:t>
            </w:r>
            <w:r>
              <w:rPr>
                <w:rFonts w:hint="eastAsia"/>
                <w:bCs/>
                <w:sz w:val="20"/>
                <w:szCs w:val="20"/>
                <w:lang w:eastAsia="zh-CN"/>
              </w:rPr>
              <w:t>of</w:t>
            </w:r>
            <w:r>
              <w:rPr>
                <w:bCs/>
                <w:sz w:val="20"/>
                <w:szCs w:val="20"/>
                <w:lang w:eastAsia="zh-CN"/>
              </w:rPr>
              <w:t xml:space="preserve"> 10 slots</w:t>
            </w:r>
          </w:p>
        </w:tc>
      </w:tr>
    </w:tbl>
    <w:p>
      <w:pPr>
        <w:spacing w:before="120" w:beforeLines="50"/>
        <w:rPr>
          <w:lang w:eastAsia="zh-CN"/>
        </w:rPr>
      </w:pPr>
      <w:r>
        <w:rPr>
          <w:lang w:eastAsia="zh-CN"/>
        </w:rPr>
        <w:t>According to the simulation results, Case 1-1 has a slight performance gain on percentage of satisfied UEs compared with baseline case. Because the CQI reported in the Case 1-1 reflects the maximum interference sample within the filtering window</w:t>
      </w:r>
      <w:r>
        <w:rPr>
          <w:rFonts w:hint="eastAsia"/>
          <w:lang w:eastAsia="zh-CN"/>
        </w:rPr>
        <w:t xml:space="preserve"> such that</w:t>
      </w:r>
      <w:r>
        <w:rPr>
          <w:lang w:eastAsia="zh-CN"/>
        </w:rPr>
        <w:t xml:space="preserve"> the gNB can obtain the adaptive conservative CQI that matches the dynamic interference jitter</w:t>
      </w:r>
      <w:r>
        <w:rPr>
          <w:rFonts w:hint="eastAsia"/>
          <w:lang w:eastAsia="zh-CN"/>
        </w:rPr>
        <w:t>. In this case,</w:t>
      </w:r>
      <w:r>
        <w:rPr>
          <w:lang w:eastAsia="zh-CN"/>
        </w:rPr>
        <w:t xml:space="preserve"> it has a slight performance gain. However Case 1-2 has no performance gain compared with baseline case. It seems that predicting the MCS based on the statistical features need further study to achieve the performance gain. </w:t>
      </w:r>
    </w:p>
    <w:p>
      <w:pPr>
        <w:rPr>
          <w:lang w:eastAsia="zh-CN"/>
        </w:rPr>
      </w:pPr>
      <w:r>
        <w:rPr>
          <w:lang w:eastAsia="zh-CN"/>
        </w:rPr>
        <w:t>Therefore, for Case-1 new reporting, we suggest that the gNB can configure the interference measurement filter in order to obtain the required CQI feedback. For instance, when the gNB needs to obtain the conservative CQI, gNB can configure the UE to feed back the CQI calculated based on the maximum interference sample within the filter window but the feedback structure itself needn’t change.</w:t>
      </w:r>
    </w:p>
    <w:p>
      <w:pPr>
        <w:rPr>
          <w:i/>
          <w:iCs/>
          <w:lang w:eastAsia="zh-CN"/>
        </w:rPr>
      </w:pPr>
      <w:r>
        <w:rPr>
          <w:b/>
          <w:bCs/>
          <w:i/>
          <w:iCs/>
          <w:lang w:eastAsia="zh-CN"/>
        </w:rPr>
        <w:t>Observation 2:</w:t>
      </w:r>
      <w:r>
        <w:rPr>
          <w:i/>
          <w:iCs/>
          <w:lang w:eastAsia="zh-CN"/>
        </w:rPr>
        <w:t xml:space="preserve"> For Case-1 new reporting, configuring interference measurement filtering is a better candidate to achieve performance gain on percentage of satisfied UEs, no additional report quantity is needed.</w:t>
      </w:r>
    </w:p>
    <w:p>
      <w:pPr>
        <w:pStyle w:val="3"/>
        <w:rPr>
          <w:lang w:val="en-US" w:eastAsia="zh-CN"/>
        </w:rPr>
      </w:pPr>
      <w:r>
        <w:rPr>
          <w:lang w:val="en-US" w:eastAsia="zh-CN"/>
        </w:rPr>
        <w:t>Evaluation results for Case-2 report</w:t>
      </w:r>
    </w:p>
    <w:p>
      <w:pPr>
        <w:rPr>
          <w:lang w:eastAsia="zh-CN"/>
        </w:rPr>
      </w:pPr>
      <w:r>
        <w:rPr>
          <w:lang w:eastAsia="zh-CN"/>
        </w:rPr>
        <w:t xml:space="preserve">For Case-2 new reporting, </w:t>
      </w:r>
      <w:r>
        <w:rPr>
          <w:rFonts w:hint="eastAsia"/>
          <w:lang w:val="en-US" w:eastAsia="zh-CN"/>
        </w:rPr>
        <w:t>w</w:t>
      </w:r>
      <w:r>
        <w:rPr>
          <w:lang w:eastAsia="zh-CN"/>
        </w:rPr>
        <w:t>e have conducted simulations focus</w:t>
      </w:r>
      <w:r>
        <w:rPr>
          <w:rFonts w:hint="eastAsia"/>
          <w:lang w:eastAsia="zh-CN"/>
        </w:rPr>
        <w:t>ing</w:t>
      </w:r>
      <w:r>
        <w:rPr>
          <w:lang w:eastAsia="zh-CN"/>
        </w:rPr>
        <w:t xml:space="preserve"> on specific feedback modes based on the </w:t>
      </w:r>
      <w:r>
        <w:rPr>
          <w:rFonts w:hint="eastAsia"/>
          <w:lang w:eastAsia="zh-CN"/>
        </w:rPr>
        <w:t>decoding margin report and (delta) CQI/MCS/SINR rep</w:t>
      </w:r>
      <w:r>
        <w:rPr>
          <w:rFonts w:hint="eastAsia"/>
          <w:lang w:val="en-US" w:eastAsia="zh-CN"/>
        </w:rPr>
        <w:t>ort</w:t>
      </w:r>
      <w:r>
        <w:rPr>
          <w:lang w:eastAsia="zh-CN"/>
        </w:rPr>
        <w:t>. The simulation cases are listed as follows:</w:t>
      </w:r>
    </w:p>
    <w:p>
      <w:pPr>
        <w:rPr>
          <w:lang w:eastAsia="zh-CN"/>
        </w:rPr>
      </w:pPr>
      <w:r>
        <w:rPr>
          <w:lang w:eastAsia="zh-CN"/>
        </w:rPr>
        <w:t>Case 2-1: For PDSCH NACK case, UE feedbacks multi-NACK as delta SINR, which is quantized as 3-bit feedback overhead. Additional OLLA enhancement is introduced.</w:t>
      </w:r>
    </w:p>
    <w:p>
      <w:pPr>
        <w:rPr>
          <w:lang w:eastAsia="zh-CN"/>
        </w:rPr>
      </w:pPr>
      <w:r>
        <w:rPr>
          <w:lang w:eastAsia="zh-CN"/>
        </w:rPr>
        <w:t xml:space="preserve">Case 2-2: For PDSCH NACK case, UE feedbacks multi-NACK as delta MCS, which is quantized as 3-bit feedback overhead. Additional OLLA enhancement is introduced. </w:t>
      </w:r>
    </w:p>
    <w:p>
      <w:pPr>
        <w:rPr>
          <w:lang w:eastAsia="zh-CN"/>
        </w:rPr>
      </w:pPr>
      <w:r>
        <w:rPr>
          <w:lang w:eastAsia="zh-CN"/>
        </w:rPr>
        <w:t>Case 2-3: For PDSCH ACK case, UE feedbacks multi-ACK as delta SINR, which is quantized as 3-bit feedback overhead. Additional OLLA enhancement is introduced.</w:t>
      </w:r>
    </w:p>
    <w:p>
      <w:pPr>
        <w:rPr>
          <w:lang w:eastAsia="zh-CN"/>
        </w:rPr>
      </w:pPr>
      <w:r>
        <w:rPr>
          <w:lang w:eastAsia="zh-CN"/>
        </w:rPr>
        <w:t>To compare the performance of the three Case-2 reports, we also use Case 0-1 and Case 0-2 as the baseline for comparison. The detailed simulation results are shown as Table 3.</w:t>
      </w:r>
    </w:p>
    <w:p>
      <w:pPr>
        <w:jc w:val="center"/>
        <w:rPr>
          <w:lang w:eastAsia="zh-CN"/>
        </w:rPr>
      </w:pPr>
      <w:r>
        <w:rPr>
          <w:lang w:eastAsia="zh-CN"/>
        </w:rPr>
        <w:t>Table 3 The simulation results for Case-2 reports in R15 AR/VR scenario</w:t>
      </w:r>
    </w:p>
    <w:tbl>
      <w:tblPr>
        <w:tblStyle w:val="51"/>
        <w:tblW w:w="103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1"/>
        <w:gridCol w:w="1335"/>
        <w:gridCol w:w="804"/>
        <w:gridCol w:w="743"/>
        <w:gridCol w:w="1811"/>
        <w:gridCol w:w="1800"/>
        <w:gridCol w:w="2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1" w:type="dxa"/>
            <w:tcBorders>
              <w:tl2br w:val="single" w:color="auto" w:sz="4" w:space="0"/>
            </w:tcBorders>
          </w:tcPr>
          <w:p>
            <w:pPr>
              <w:snapToGrid w:val="0"/>
              <w:spacing w:before="120" w:after="0" w:line="280" w:lineRule="atLeast"/>
              <w:ind w:firstLine="800" w:firstLineChars="400"/>
              <w:rPr>
                <w:bCs/>
                <w:sz w:val="20"/>
                <w:szCs w:val="20"/>
                <w:lang w:eastAsia="zh-CN"/>
              </w:rPr>
            </w:pPr>
            <w:r>
              <w:rPr>
                <w:bCs/>
                <w:sz w:val="20"/>
                <w:szCs w:val="20"/>
                <w:lang w:eastAsia="zh-CN"/>
              </w:rPr>
              <w:t>Metrics</w:t>
            </w:r>
          </w:p>
          <w:p>
            <w:pPr>
              <w:snapToGrid w:val="0"/>
              <w:spacing w:before="120" w:after="0" w:line="280" w:lineRule="atLeast"/>
              <w:rPr>
                <w:bCs/>
                <w:sz w:val="20"/>
                <w:szCs w:val="20"/>
                <w:lang w:eastAsia="zh-CN"/>
              </w:rPr>
            </w:pPr>
            <w:r>
              <w:rPr>
                <w:rFonts w:hint="eastAsia"/>
                <w:bCs/>
                <w:sz w:val="20"/>
                <w:szCs w:val="20"/>
                <w:lang w:val="en-US" w:eastAsia="zh-CN"/>
              </w:rPr>
              <w:t>C</w:t>
            </w:r>
            <w:r>
              <w:rPr>
                <w:bCs/>
                <w:sz w:val="20"/>
                <w:szCs w:val="20"/>
                <w:lang w:eastAsia="zh-CN"/>
              </w:rPr>
              <w:t xml:space="preserve">ases      </w:t>
            </w:r>
          </w:p>
        </w:tc>
        <w:tc>
          <w:tcPr>
            <w:tcW w:w="1335" w:type="dxa"/>
          </w:tcPr>
          <w:p>
            <w:pPr>
              <w:snapToGrid w:val="0"/>
              <w:spacing w:before="120" w:after="0" w:line="280" w:lineRule="atLeast"/>
              <w:jc w:val="center"/>
              <w:rPr>
                <w:sz w:val="20"/>
                <w:szCs w:val="20"/>
                <w:lang w:eastAsia="zh-CN"/>
              </w:rPr>
            </w:pPr>
            <w:r>
              <w:rPr>
                <w:sz w:val="20"/>
                <w:szCs w:val="20"/>
                <w:lang w:eastAsia="zh-CN"/>
              </w:rPr>
              <w:t>Percentage</w:t>
            </w:r>
          </w:p>
          <w:p>
            <w:pPr>
              <w:snapToGrid w:val="0"/>
              <w:spacing w:before="120" w:after="0" w:line="280" w:lineRule="atLeast"/>
              <w:jc w:val="center"/>
              <w:rPr>
                <w:sz w:val="20"/>
                <w:szCs w:val="20"/>
                <w:lang w:eastAsia="zh-CN"/>
              </w:rPr>
            </w:pPr>
            <w:r>
              <w:rPr>
                <w:sz w:val="20"/>
                <w:szCs w:val="20"/>
                <w:lang w:eastAsia="zh-CN"/>
              </w:rPr>
              <w:t>(%)</w:t>
            </w:r>
          </w:p>
        </w:tc>
        <w:tc>
          <w:tcPr>
            <w:tcW w:w="804" w:type="dxa"/>
          </w:tcPr>
          <w:p>
            <w:pPr>
              <w:snapToGrid w:val="0"/>
              <w:spacing w:before="120" w:after="0" w:line="280" w:lineRule="atLeast"/>
              <w:jc w:val="center"/>
              <w:rPr>
                <w:sz w:val="20"/>
                <w:szCs w:val="20"/>
                <w:lang w:eastAsia="zh-CN"/>
              </w:rPr>
            </w:pPr>
            <w:r>
              <w:rPr>
                <w:sz w:val="20"/>
                <w:szCs w:val="20"/>
                <w:lang w:eastAsia="zh-CN"/>
              </w:rPr>
              <w:t xml:space="preserve">BLER of </w:t>
            </w:r>
            <w:r>
              <w:rPr>
                <w:sz w:val="20"/>
                <w:szCs w:val="20"/>
              </w:rPr>
              <w:t>1</w:t>
            </w:r>
            <w:r>
              <w:rPr>
                <w:sz w:val="20"/>
                <w:szCs w:val="20"/>
                <w:vertAlign w:val="superscript"/>
              </w:rPr>
              <w:t>st</w:t>
            </w:r>
          </w:p>
        </w:tc>
        <w:tc>
          <w:tcPr>
            <w:tcW w:w="743" w:type="dxa"/>
          </w:tcPr>
          <w:p>
            <w:pPr>
              <w:snapToGrid w:val="0"/>
              <w:spacing w:before="120" w:after="0" w:line="280" w:lineRule="atLeast"/>
              <w:jc w:val="center"/>
              <w:rPr>
                <w:sz w:val="20"/>
                <w:szCs w:val="20"/>
                <w:lang w:eastAsia="zh-CN"/>
              </w:rPr>
            </w:pPr>
            <w:r>
              <w:rPr>
                <w:sz w:val="20"/>
                <w:szCs w:val="20"/>
                <w:lang w:eastAsia="zh-CN"/>
              </w:rPr>
              <w:t>RU</w:t>
            </w:r>
          </w:p>
          <w:p>
            <w:pPr>
              <w:snapToGrid w:val="0"/>
              <w:spacing w:before="120" w:after="0" w:line="280" w:lineRule="atLeast"/>
              <w:jc w:val="center"/>
              <w:rPr>
                <w:sz w:val="20"/>
                <w:szCs w:val="20"/>
                <w:lang w:eastAsia="zh-CN"/>
              </w:rPr>
            </w:pPr>
            <w:r>
              <w:rPr>
                <w:sz w:val="20"/>
                <w:szCs w:val="20"/>
                <w:lang w:eastAsia="zh-CN"/>
              </w:rPr>
              <w:t>(%)</w:t>
            </w:r>
          </w:p>
        </w:tc>
        <w:tc>
          <w:tcPr>
            <w:tcW w:w="1811" w:type="dxa"/>
          </w:tcPr>
          <w:p>
            <w:pPr>
              <w:snapToGrid w:val="0"/>
              <w:spacing w:before="120" w:after="0" w:line="280" w:lineRule="atLeast"/>
              <w:jc w:val="center"/>
              <w:rPr>
                <w:sz w:val="20"/>
                <w:szCs w:val="20"/>
                <w:lang w:eastAsia="zh-CN"/>
              </w:rPr>
            </w:pPr>
            <w:r>
              <w:rPr>
                <w:sz w:val="20"/>
                <w:szCs w:val="20"/>
                <w:lang w:eastAsia="zh-CN"/>
              </w:rPr>
              <w:t>RU for retransmission (%)</w:t>
            </w:r>
          </w:p>
        </w:tc>
        <w:tc>
          <w:tcPr>
            <w:tcW w:w="1800" w:type="dxa"/>
          </w:tcPr>
          <w:p>
            <w:pPr>
              <w:snapToGrid w:val="0"/>
              <w:spacing w:before="120" w:after="0" w:line="280" w:lineRule="atLeast"/>
              <w:jc w:val="center"/>
              <w:rPr>
                <w:sz w:val="20"/>
                <w:szCs w:val="20"/>
                <w:lang w:eastAsia="zh-CN"/>
              </w:rPr>
            </w:pPr>
            <w:r>
              <w:rPr>
                <w:sz w:val="20"/>
                <w:szCs w:val="20"/>
                <w:lang w:eastAsia="zh-CN"/>
              </w:rPr>
              <w:t>MCS Predict too large ratio (%)</w:t>
            </w:r>
          </w:p>
        </w:tc>
        <w:tc>
          <w:tcPr>
            <w:tcW w:w="2095" w:type="dxa"/>
          </w:tcPr>
          <w:p>
            <w:pPr>
              <w:snapToGrid w:val="0"/>
              <w:spacing w:before="120" w:after="0" w:line="280" w:lineRule="atLeast"/>
              <w:jc w:val="center"/>
              <w:rPr>
                <w:sz w:val="20"/>
                <w:szCs w:val="20"/>
                <w:lang w:eastAsia="zh-CN"/>
              </w:rPr>
            </w:pPr>
            <w:r>
              <w:rPr>
                <w:sz w:val="20"/>
                <w:szCs w:val="20"/>
                <w:lang w:eastAsia="zh-CN"/>
              </w:rPr>
              <w:t>OLLA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1"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Case 0</w:t>
            </w:r>
            <w:r>
              <w:rPr>
                <w:rFonts w:hint="eastAsia"/>
                <w:sz w:val="20"/>
                <w:szCs w:val="20"/>
                <w:lang w:eastAsia="zh-CN"/>
              </w:rPr>
              <w:t>-1</w:t>
            </w:r>
          </w:p>
        </w:tc>
        <w:tc>
          <w:tcPr>
            <w:tcW w:w="1335" w:type="dxa"/>
            <w:shd w:val="clear" w:color="auto" w:fill="FFFFFF" w:themeFill="background1"/>
          </w:tcPr>
          <w:p>
            <w:pPr>
              <w:snapToGrid w:val="0"/>
              <w:spacing w:before="120" w:after="0" w:line="280" w:lineRule="atLeast"/>
              <w:jc w:val="center"/>
              <w:rPr>
                <w:sz w:val="20"/>
                <w:szCs w:val="20"/>
                <w:lang w:eastAsia="zh-CN"/>
              </w:rPr>
            </w:pPr>
            <w:r>
              <w:rPr>
                <w:bCs/>
                <w:sz w:val="20"/>
                <w:szCs w:val="20"/>
                <w:lang w:eastAsia="zh-CN"/>
              </w:rPr>
              <w:t>29.52</w:t>
            </w:r>
          </w:p>
        </w:tc>
        <w:tc>
          <w:tcPr>
            <w:tcW w:w="804" w:type="dxa"/>
            <w:shd w:val="clear" w:color="auto" w:fill="FFFFFF" w:themeFill="background1"/>
          </w:tcPr>
          <w:p>
            <w:pPr>
              <w:snapToGrid w:val="0"/>
              <w:spacing w:before="120" w:after="0" w:line="280" w:lineRule="atLeast"/>
              <w:jc w:val="center"/>
              <w:rPr>
                <w:sz w:val="20"/>
                <w:szCs w:val="20"/>
                <w:lang w:eastAsia="zh-CN"/>
              </w:rPr>
            </w:pPr>
            <w:r>
              <w:rPr>
                <w:bCs/>
                <w:sz w:val="20"/>
                <w:szCs w:val="20"/>
                <w:lang w:eastAsia="zh-CN"/>
              </w:rPr>
              <w:t>0.4750</w:t>
            </w:r>
          </w:p>
        </w:tc>
        <w:tc>
          <w:tcPr>
            <w:tcW w:w="743" w:type="dxa"/>
            <w:shd w:val="clear" w:color="auto" w:fill="FFFFFF" w:themeFill="background1"/>
          </w:tcPr>
          <w:p>
            <w:pPr>
              <w:snapToGrid w:val="0"/>
              <w:spacing w:before="120" w:after="0" w:line="280" w:lineRule="atLeast"/>
              <w:jc w:val="center"/>
              <w:rPr>
                <w:sz w:val="20"/>
                <w:szCs w:val="20"/>
                <w:lang w:eastAsia="zh-CN"/>
              </w:rPr>
            </w:pPr>
            <w:r>
              <w:rPr>
                <w:bCs/>
                <w:sz w:val="20"/>
                <w:szCs w:val="20"/>
                <w:lang w:eastAsia="zh-CN"/>
              </w:rPr>
              <w:t>3.52</w:t>
            </w:r>
          </w:p>
        </w:tc>
        <w:tc>
          <w:tcPr>
            <w:tcW w:w="1811" w:type="dxa"/>
            <w:shd w:val="clear" w:color="auto" w:fill="FFFFFF" w:themeFill="background1"/>
          </w:tcPr>
          <w:p>
            <w:pPr>
              <w:snapToGrid w:val="0"/>
              <w:spacing w:before="120" w:after="0" w:line="280" w:lineRule="atLeast"/>
              <w:jc w:val="center"/>
              <w:rPr>
                <w:sz w:val="20"/>
                <w:szCs w:val="20"/>
                <w:lang w:eastAsia="zh-CN"/>
              </w:rPr>
            </w:pPr>
            <w:r>
              <w:rPr>
                <w:bCs/>
                <w:sz w:val="20"/>
                <w:szCs w:val="20"/>
                <w:lang w:eastAsia="zh-CN"/>
              </w:rPr>
              <w:t>1.59</w:t>
            </w:r>
          </w:p>
        </w:tc>
        <w:tc>
          <w:tcPr>
            <w:tcW w:w="1800" w:type="dxa"/>
            <w:shd w:val="clear" w:color="auto" w:fill="FFFFFF" w:themeFill="background1"/>
          </w:tcPr>
          <w:p>
            <w:pPr>
              <w:snapToGrid w:val="0"/>
              <w:spacing w:before="120" w:after="0" w:line="280" w:lineRule="atLeast"/>
              <w:jc w:val="center"/>
              <w:rPr>
                <w:bCs/>
                <w:sz w:val="20"/>
                <w:szCs w:val="20"/>
                <w:lang w:eastAsia="zh-CN"/>
              </w:rPr>
            </w:pPr>
            <w:r>
              <w:rPr>
                <w:sz w:val="20"/>
                <w:szCs w:val="20"/>
                <w:lang w:eastAsia="zh-CN"/>
              </w:rPr>
              <w:t>73.24</w:t>
            </w:r>
          </w:p>
        </w:tc>
        <w:tc>
          <w:tcPr>
            <w:tcW w:w="2095" w:type="dxa"/>
            <w:shd w:val="clear" w:color="auto" w:fill="FFFFFF" w:themeFill="background1"/>
          </w:tcPr>
          <w:p>
            <w:pPr>
              <w:snapToGrid w:val="0"/>
              <w:spacing w:before="120" w:after="0" w:line="280" w:lineRule="atLeast"/>
              <w:jc w:val="center"/>
              <w:rPr>
                <w:bCs/>
                <w:sz w:val="20"/>
                <w:szCs w:val="20"/>
                <w:lang w:eastAsia="zh-CN"/>
              </w:rPr>
            </w:pPr>
            <w:r>
              <w:rPr>
                <w:bCs/>
                <w:sz w:val="20"/>
                <w:szCs w:val="20"/>
                <w:lang w:eastAsia="zh-CN"/>
              </w:rPr>
              <w:t>Without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1" w:type="dxa"/>
            <w:shd w:val="clear" w:color="auto" w:fill="FFFFFF" w:themeFill="background1"/>
          </w:tcPr>
          <w:p>
            <w:pPr>
              <w:snapToGrid w:val="0"/>
              <w:spacing w:before="120" w:after="0" w:line="280" w:lineRule="atLeast"/>
              <w:jc w:val="center"/>
              <w:rPr>
                <w:bCs/>
                <w:sz w:val="20"/>
                <w:szCs w:val="20"/>
                <w:lang w:eastAsia="zh-CN"/>
              </w:rPr>
            </w:pPr>
            <w:r>
              <w:rPr>
                <w:sz w:val="20"/>
                <w:szCs w:val="20"/>
                <w:lang w:eastAsia="zh-CN"/>
              </w:rPr>
              <w:t>Case 0</w:t>
            </w:r>
            <w:r>
              <w:rPr>
                <w:rFonts w:hint="eastAsia"/>
                <w:sz w:val="20"/>
                <w:szCs w:val="20"/>
                <w:lang w:eastAsia="zh-CN"/>
              </w:rPr>
              <w:t>-2</w:t>
            </w:r>
          </w:p>
        </w:tc>
        <w:tc>
          <w:tcPr>
            <w:tcW w:w="1335" w:type="dxa"/>
            <w:shd w:val="clear" w:color="auto" w:fill="FFFFFF" w:themeFill="background1"/>
          </w:tcPr>
          <w:p>
            <w:pPr>
              <w:snapToGrid w:val="0"/>
              <w:spacing w:before="120" w:after="0" w:line="280" w:lineRule="atLeast"/>
              <w:jc w:val="center"/>
              <w:rPr>
                <w:sz w:val="20"/>
                <w:szCs w:val="20"/>
                <w:lang w:eastAsia="zh-CN"/>
              </w:rPr>
            </w:pPr>
            <w:r>
              <w:rPr>
                <w:bCs/>
                <w:sz w:val="20"/>
                <w:szCs w:val="20"/>
                <w:lang w:eastAsia="zh-CN"/>
              </w:rPr>
              <w:t>49.52</w:t>
            </w:r>
          </w:p>
        </w:tc>
        <w:tc>
          <w:tcPr>
            <w:tcW w:w="804" w:type="dxa"/>
            <w:shd w:val="clear" w:color="auto" w:fill="FFFFFF" w:themeFill="background1"/>
          </w:tcPr>
          <w:p>
            <w:pPr>
              <w:snapToGrid w:val="0"/>
              <w:spacing w:before="120" w:after="0" w:line="280" w:lineRule="atLeast"/>
              <w:jc w:val="center"/>
              <w:rPr>
                <w:sz w:val="20"/>
                <w:szCs w:val="20"/>
                <w:lang w:eastAsia="zh-CN"/>
              </w:rPr>
            </w:pPr>
            <w:r>
              <w:rPr>
                <w:bCs/>
                <w:sz w:val="20"/>
                <w:szCs w:val="20"/>
                <w:lang w:eastAsia="zh-CN"/>
              </w:rPr>
              <w:t>0.1692</w:t>
            </w:r>
          </w:p>
        </w:tc>
        <w:tc>
          <w:tcPr>
            <w:tcW w:w="743" w:type="dxa"/>
            <w:shd w:val="clear" w:color="auto" w:fill="FFFFFF" w:themeFill="background1"/>
          </w:tcPr>
          <w:p>
            <w:pPr>
              <w:snapToGrid w:val="0"/>
              <w:spacing w:before="120" w:after="0" w:line="280" w:lineRule="atLeast"/>
              <w:jc w:val="center"/>
              <w:rPr>
                <w:sz w:val="20"/>
                <w:szCs w:val="20"/>
                <w:lang w:eastAsia="zh-CN"/>
              </w:rPr>
            </w:pPr>
            <w:r>
              <w:rPr>
                <w:bCs/>
                <w:sz w:val="20"/>
                <w:szCs w:val="20"/>
                <w:lang w:eastAsia="zh-CN"/>
              </w:rPr>
              <w:t>1.88</w:t>
            </w:r>
          </w:p>
        </w:tc>
        <w:tc>
          <w:tcPr>
            <w:tcW w:w="1811" w:type="dxa"/>
            <w:shd w:val="clear" w:color="auto" w:fill="FFFFFF" w:themeFill="background1"/>
          </w:tcPr>
          <w:p>
            <w:pPr>
              <w:snapToGrid w:val="0"/>
              <w:spacing w:before="120" w:after="0" w:line="280" w:lineRule="atLeast"/>
              <w:jc w:val="center"/>
              <w:rPr>
                <w:sz w:val="20"/>
                <w:szCs w:val="20"/>
                <w:lang w:eastAsia="zh-CN"/>
              </w:rPr>
            </w:pPr>
            <w:r>
              <w:rPr>
                <w:bCs/>
                <w:sz w:val="20"/>
                <w:szCs w:val="20"/>
                <w:lang w:eastAsia="zh-CN"/>
              </w:rPr>
              <w:t>0.34</w:t>
            </w:r>
          </w:p>
        </w:tc>
        <w:tc>
          <w:tcPr>
            <w:tcW w:w="1800" w:type="dxa"/>
            <w:shd w:val="clear" w:color="auto" w:fill="FFFFFF" w:themeFill="background1"/>
          </w:tcPr>
          <w:p>
            <w:pPr>
              <w:snapToGrid w:val="0"/>
              <w:spacing w:before="120" w:after="0" w:line="280" w:lineRule="atLeast"/>
              <w:jc w:val="center"/>
              <w:rPr>
                <w:bCs/>
                <w:sz w:val="20"/>
                <w:szCs w:val="20"/>
                <w:lang w:eastAsia="zh-CN"/>
              </w:rPr>
            </w:pPr>
            <w:r>
              <w:rPr>
                <w:sz w:val="20"/>
                <w:szCs w:val="20"/>
                <w:lang w:eastAsia="zh-CN"/>
              </w:rPr>
              <w:t>29.73</w:t>
            </w:r>
          </w:p>
        </w:tc>
        <w:tc>
          <w:tcPr>
            <w:tcW w:w="2095" w:type="dxa"/>
            <w:shd w:val="clear" w:color="auto" w:fill="FFFFFF" w:themeFill="background1"/>
          </w:tcPr>
          <w:p>
            <w:pPr>
              <w:snapToGrid w:val="0"/>
              <w:spacing w:before="120" w:after="0" w:line="280" w:lineRule="atLeast"/>
              <w:jc w:val="center"/>
              <w:rPr>
                <w:bCs/>
                <w:sz w:val="20"/>
                <w:szCs w:val="20"/>
                <w:lang w:eastAsia="zh-CN"/>
              </w:rPr>
            </w:pPr>
            <w:r>
              <w:rPr>
                <w:bCs/>
                <w:sz w:val="20"/>
                <w:szCs w:val="20"/>
                <w:lang w:eastAsia="zh-CN"/>
              </w:rPr>
              <w:t>Without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1"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Case 2</w:t>
            </w:r>
            <w:r>
              <w:rPr>
                <w:rFonts w:hint="eastAsia"/>
                <w:sz w:val="20"/>
                <w:szCs w:val="20"/>
                <w:lang w:eastAsia="zh-CN"/>
              </w:rPr>
              <w:t>-1</w:t>
            </w:r>
          </w:p>
        </w:tc>
        <w:tc>
          <w:tcPr>
            <w:tcW w:w="1335"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93.81</w:t>
            </w:r>
          </w:p>
        </w:tc>
        <w:tc>
          <w:tcPr>
            <w:tcW w:w="804"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0.0054</w:t>
            </w:r>
          </w:p>
        </w:tc>
        <w:tc>
          <w:tcPr>
            <w:tcW w:w="743"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33.04</w:t>
            </w:r>
          </w:p>
        </w:tc>
        <w:tc>
          <w:tcPr>
            <w:tcW w:w="1811"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0.06</w:t>
            </w:r>
          </w:p>
        </w:tc>
        <w:tc>
          <w:tcPr>
            <w:tcW w:w="1800"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1.08</w:t>
            </w:r>
          </w:p>
        </w:tc>
        <w:tc>
          <w:tcPr>
            <w:tcW w:w="2095" w:type="dxa"/>
            <w:shd w:val="clear" w:color="auto" w:fill="FFFFFF" w:themeFill="background1"/>
          </w:tcPr>
          <w:p>
            <w:pPr>
              <w:snapToGrid w:val="0"/>
              <w:spacing w:before="120" w:after="0" w:line="280" w:lineRule="atLeast"/>
              <w:jc w:val="center"/>
              <w:rPr>
                <w:bCs/>
                <w:sz w:val="20"/>
                <w:szCs w:val="20"/>
                <w:lang w:eastAsia="zh-CN"/>
              </w:rPr>
            </w:pPr>
            <w:r>
              <w:rPr>
                <w:bCs/>
                <w:sz w:val="20"/>
                <w:szCs w:val="20"/>
                <w:lang w:eastAsia="zh-CN"/>
              </w:rPr>
              <w:t>With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1"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Case 2</w:t>
            </w:r>
            <w:r>
              <w:rPr>
                <w:rFonts w:hint="eastAsia"/>
                <w:sz w:val="20"/>
                <w:szCs w:val="20"/>
                <w:lang w:eastAsia="zh-CN"/>
              </w:rPr>
              <w:t>-2</w:t>
            </w:r>
          </w:p>
        </w:tc>
        <w:tc>
          <w:tcPr>
            <w:tcW w:w="1335" w:type="dxa"/>
            <w:shd w:val="clear" w:color="auto" w:fill="FFFFFF" w:themeFill="background1"/>
          </w:tcPr>
          <w:p>
            <w:pPr>
              <w:snapToGrid w:val="0"/>
              <w:spacing w:before="120" w:after="0" w:line="280" w:lineRule="atLeast"/>
              <w:jc w:val="center"/>
              <w:rPr>
                <w:kern w:val="2"/>
                <w:sz w:val="20"/>
                <w:szCs w:val="20"/>
                <w:lang w:eastAsia="zh-CN"/>
              </w:rPr>
            </w:pPr>
            <w:r>
              <w:rPr>
                <w:sz w:val="20"/>
                <w:szCs w:val="20"/>
                <w:lang w:eastAsia="zh-CN"/>
              </w:rPr>
              <w:t>60.48</w:t>
            </w:r>
          </w:p>
        </w:tc>
        <w:tc>
          <w:tcPr>
            <w:tcW w:w="804" w:type="dxa"/>
            <w:shd w:val="clear" w:color="auto" w:fill="FFFFFF" w:themeFill="background1"/>
          </w:tcPr>
          <w:p>
            <w:pPr>
              <w:snapToGrid w:val="0"/>
              <w:spacing w:before="120" w:after="0" w:line="280" w:lineRule="atLeast"/>
              <w:jc w:val="center"/>
              <w:rPr>
                <w:kern w:val="2"/>
                <w:sz w:val="20"/>
                <w:szCs w:val="20"/>
                <w:lang w:eastAsia="zh-CN"/>
              </w:rPr>
            </w:pPr>
            <w:r>
              <w:rPr>
                <w:sz w:val="20"/>
                <w:szCs w:val="20"/>
                <w:lang w:eastAsia="zh-CN"/>
              </w:rPr>
              <w:t>0.1721</w:t>
            </w:r>
          </w:p>
        </w:tc>
        <w:tc>
          <w:tcPr>
            <w:tcW w:w="743" w:type="dxa"/>
            <w:shd w:val="clear" w:color="auto" w:fill="FFFFFF" w:themeFill="background1"/>
          </w:tcPr>
          <w:p>
            <w:pPr>
              <w:snapToGrid w:val="0"/>
              <w:spacing w:before="120" w:after="0" w:line="280" w:lineRule="atLeast"/>
              <w:jc w:val="center"/>
              <w:rPr>
                <w:kern w:val="2"/>
                <w:sz w:val="20"/>
                <w:szCs w:val="20"/>
                <w:lang w:eastAsia="zh-CN"/>
              </w:rPr>
            </w:pPr>
            <w:r>
              <w:rPr>
                <w:sz w:val="20"/>
                <w:szCs w:val="20"/>
                <w:lang w:eastAsia="zh-CN"/>
              </w:rPr>
              <w:t>1.92</w:t>
            </w:r>
          </w:p>
        </w:tc>
        <w:tc>
          <w:tcPr>
            <w:tcW w:w="1811" w:type="dxa"/>
            <w:shd w:val="clear" w:color="auto" w:fill="FFFFFF" w:themeFill="background1"/>
          </w:tcPr>
          <w:p>
            <w:pPr>
              <w:snapToGrid w:val="0"/>
              <w:spacing w:before="120" w:after="0" w:line="280" w:lineRule="atLeast"/>
              <w:jc w:val="center"/>
              <w:rPr>
                <w:kern w:val="2"/>
                <w:sz w:val="20"/>
                <w:szCs w:val="20"/>
                <w:lang w:eastAsia="zh-CN"/>
              </w:rPr>
            </w:pPr>
            <w:r>
              <w:rPr>
                <w:sz w:val="20"/>
                <w:szCs w:val="20"/>
                <w:lang w:eastAsia="zh-CN"/>
              </w:rPr>
              <w:t>0.37</w:t>
            </w:r>
          </w:p>
        </w:tc>
        <w:tc>
          <w:tcPr>
            <w:tcW w:w="1800" w:type="dxa"/>
            <w:shd w:val="clear" w:color="auto" w:fill="FFFFFF" w:themeFill="background1"/>
          </w:tcPr>
          <w:p>
            <w:pPr>
              <w:snapToGrid w:val="0"/>
              <w:spacing w:before="120" w:after="0" w:line="280" w:lineRule="atLeast"/>
              <w:jc w:val="center"/>
              <w:rPr>
                <w:kern w:val="2"/>
                <w:sz w:val="20"/>
                <w:szCs w:val="20"/>
                <w:lang w:eastAsia="zh-CN"/>
              </w:rPr>
            </w:pPr>
            <w:r>
              <w:rPr>
                <w:sz w:val="20"/>
                <w:szCs w:val="20"/>
                <w:lang w:eastAsia="zh-CN"/>
              </w:rPr>
              <w:t>21.48</w:t>
            </w:r>
          </w:p>
        </w:tc>
        <w:tc>
          <w:tcPr>
            <w:tcW w:w="2095" w:type="dxa"/>
            <w:shd w:val="clear" w:color="auto" w:fill="FFFFFF" w:themeFill="background1"/>
          </w:tcPr>
          <w:p>
            <w:pPr>
              <w:snapToGrid w:val="0"/>
              <w:spacing w:before="120" w:after="0" w:line="280" w:lineRule="atLeast"/>
              <w:jc w:val="center"/>
              <w:rPr>
                <w:bCs/>
                <w:sz w:val="20"/>
                <w:szCs w:val="20"/>
                <w:lang w:eastAsia="zh-CN"/>
              </w:rPr>
            </w:pPr>
            <w:r>
              <w:rPr>
                <w:bCs/>
                <w:sz w:val="20"/>
                <w:szCs w:val="20"/>
                <w:lang w:eastAsia="zh-CN"/>
              </w:rPr>
              <w:t>With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1" w:type="dxa"/>
            <w:shd w:val="clear" w:color="auto" w:fill="FFFFFF" w:themeFill="background1"/>
          </w:tcPr>
          <w:p>
            <w:pPr>
              <w:snapToGrid w:val="0"/>
              <w:spacing w:before="120" w:after="0" w:line="280" w:lineRule="atLeast"/>
              <w:jc w:val="center"/>
              <w:rPr>
                <w:bCs/>
                <w:sz w:val="20"/>
                <w:szCs w:val="20"/>
                <w:lang w:eastAsia="zh-CN"/>
              </w:rPr>
            </w:pPr>
            <w:r>
              <w:rPr>
                <w:sz w:val="20"/>
                <w:szCs w:val="20"/>
                <w:lang w:eastAsia="zh-CN"/>
              </w:rPr>
              <w:t>Case 2</w:t>
            </w:r>
            <w:r>
              <w:rPr>
                <w:rFonts w:hint="eastAsia"/>
                <w:sz w:val="20"/>
                <w:szCs w:val="20"/>
                <w:lang w:eastAsia="zh-CN"/>
              </w:rPr>
              <w:t>-3</w:t>
            </w:r>
          </w:p>
        </w:tc>
        <w:tc>
          <w:tcPr>
            <w:tcW w:w="1335"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61.43</w:t>
            </w:r>
          </w:p>
        </w:tc>
        <w:tc>
          <w:tcPr>
            <w:tcW w:w="804"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0.1111</w:t>
            </w:r>
          </w:p>
        </w:tc>
        <w:tc>
          <w:tcPr>
            <w:tcW w:w="743"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2.32</w:t>
            </w:r>
          </w:p>
        </w:tc>
        <w:tc>
          <w:tcPr>
            <w:tcW w:w="1811"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0.27</w:t>
            </w:r>
          </w:p>
        </w:tc>
        <w:tc>
          <w:tcPr>
            <w:tcW w:w="1800" w:type="dxa"/>
            <w:shd w:val="clear" w:color="auto" w:fill="FFFFFF" w:themeFill="background1"/>
          </w:tcPr>
          <w:p>
            <w:pPr>
              <w:snapToGrid w:val="0"/>
              <w:spacing w:before="120" w:after="0" w:line="280" w:lineRule="atLeast"/>
              <w:jc w:val="center"/>
              <w:rPr>
                <w:sz w:val="20"/>
                <w:szCs w:val="20"/>
                <w:lang w:eastAsia="zh-CN"/>
              </w:rPr>
            </w:pPr>
            <w:r>
              <w:rPr>
                <w:sz w:val="20"/>
                <w:szCs w:val="20"/>
                <w:lang w:eastAsia="zh-CN"/>
              </w:rPr>
              <w:t>20.65</w:t>
            </w:r>
          </w:p>
        </w:tc>
        <w:tc>
          <w:tcPr>
            <w:tcW w:w="2095" w:type="dxa"/>
            <w:shd w:val="clear" w:color="auto" w:fill="FFFFFF" w:themeFill="background1"/>
          </w:tcPr>
          <w:p>
            <w:pPr>
              <w:snapToGrid w:val="0"/>
              <w:spacing w:before="120" w:after="0" w:line="280" w:lineRule="atLeast"/>
              <w:jc w:val="center"/>
              <w:rPr>
                <w:bCs/>
                <w:sz w:val="20"/>
                <w:szCs w:val="20"/>
                <w:lang w:eastAsia="zh-CN"/>
              </w:rPr>
            </w:pPr>
            <w:r>
              <w:rPr>
                <w:bCs/>
                <w:sz w:val="20"/>
                <w:szCs w:val="20"/>
                <w:lang w:eastAsia="zh-CN"/>
              </w:rPr>
              <w:t>With</w:t>
            </w:r>
          </w:p>
        </w:tc>
      </w:tr>
    </w:tbl>
    <w:p>
      <w:pPr>
        <w:spacing w:before="120" w:beforeLines="50"/>
        <w:rPr>
          <w:lang w:eastAsia="zh-CN"/>
        </w:rPr>
      </w:pPr>
      <w:r>
        <w:rPr>
          <w:lang w:eastAsia="zh-CN"/>
        </w:rPr>
        <w:t>According to the simulation results, it is observed that Case 2-1, Case 2-2 and Case 2-3 can obtain performance gain on percentage of satisfied UEs compared with the baseline</w:t>
      </w:r>
      <w:r>
        <w:rPr>
          <w:rFonts w:hint="eastAsia"/>
          <w:lang w:eastAsia="zh-CN"/>
        </w:rPr>
        <w:t xml:space="preserve"> </w:t>
      </w:r>
      <w:r>
        <w:rPr>
          <w:lang w:eastAsia="zh-CN"/>
        </w:rPr>
        <w:t>Case. Especially for Case 2-1, it can significantly improve percentage of satisfied UEs and greatly reduce the BLER of 1st, as well as the usage of RU for retransmission. Case 2-1 greatly improves the performance, while the cost is the much usage of RU, mainly because MCS prediction is conservative and more precise for enhanced OLLA.</w:t>
      </w:r>
    </w:p>
    <w:p>
      <w:pPr>
        <w:rPr>
          <w:lang w:eastAsia="zh-CN"/>
        </w:rPr>
      </w:pPr>
      <w:r>
        <w:rPr>
          <w:lang w:eastAsia="zh-CN"/>
        </w:rPr>
        <w:t>In conclusion, to improve the reliability of URLLC PDSCH transmission, Case 2-1, Case 2-2 and Case 2-3 from scheme 2a-1 are good candidates, among which Case 2-1(multi-NACK as delta SINR) is the most effective one.</w:t>
      </w:r>
    </w:p>
    <w:p>
      <w:pPr>
        <w:rPr>
          <w:i/>
          <w:iCs/>
          <w:lang w:eastAsia="zh-CN"/>
        </w:rPr>
      </w:pPr>
      <w:r>
        <w:rPr>
          <w:b/>
          <w:bCs/>
          <w:i/>
          <w:iCs/>
          <w:lang w:eastAsia="zh-CN"/>
        </w:rPr>
        <w:t>Observation 3:</w:t>
      </w:r>
      <w:r>
        <w:rPr>
          <w:i/>
          <w:iCs/>
          <w:lang w:eastAsia="zh-CN"/>
        </w:rPr>
        <w:t xml:space="preserve"> Scheme 2a-1 of Case-2 new reporting can obtain obvious reliability gain compared with Rel-16 CSI report.</w:t>
      </w:r>
    </w:p>
    <w:p>
      <w:pPr>
        <w:pStyle w:val="2"/>
        <w:rPr>
          <w:lang w:val="en-US" w:eastAsia="zh-CN"/>
        </w:rPr>
      </w:pPr>
      <w:r>
        <w:rPr>
          <w:lang w:val="en-US" w:eastAsia="zh-CN"/>
        </w:rPr>
        <w:t>Analysis on CSI feedback enhancement</w:t>
      </w:r>
    </w:p>
    <w:p>
      <w:pPr>
        <w:pStyle w:val="3"/>
        <w:rPr>
          <w:lang w:val="en-US" w:eastAsia="zh-CN"/>
        </w:rPr>
      </w:pPr>
      <w:r>
        <w:rPr>
          <w:lang w:val="en-US" w:eastAsia="zh-CN"/>
        </w:rPr>
        <w:t>Discussion on case 1 report</w:t>
      </w:r>
    </w:p>
    <w:p>
      <w:pPr>
        <w:rPr>
          <w:rFonts w:hint="eastAsia"/>
          <w:lang w:val="en-US" w:eastAsia="zh-CN"/>
        </w:rPr>
      </w:pPr>
      <w:r>
        <w:rPr>
          <w:rFonts w:hint="eastAsia"/>
          <w:lang w:val="en-US" w:eastAsia="zh-CN"/>
        </w:rPr>
        <w:t>For case 1 report for CSI feedback enhancements, the following methods were agreed for further study.</w:t>
      </w:r>
    </w:p>
    <w:p>
      <w:pPr>
        <w:numPr>
          <w:ilvl w:val="0"/>
          <w:numId w:val="13"/>
        </w:numPr>
        <w:ind w:left="420" w:hanging="420"/>
        <w:rPr>
          <w:rFonts w:hint="eastAsia"/>
          <w:lang w:val="en-US" w:eastAsia="zh-CN"/>
        </w:rPr>
      </w:pPr>
      <w:r>
        <w:rPr>
          <w:rFonts w:hint="eastAsia"/>
          <w:lang w:val="en-US" w:eastAsia="zh-CN"/>
        </w:rPr>
        <w:t>Mean-CQI/SINR and stdev-CQI/SINR (FFS details)</w:t>
      </w:r>
    </w:p>
    <w:p>
      <w:pPr>
        <w:numPr>
          <w:ilvl w:val="0"/>
          <w:numId w:val="13"/>
        </w:numPr>
        <w:ind w:left="420" w:hanging="420"/>
        <w:rPr>
          <w:rFonts w:hint="eastAsia"/>
          <w:lang w:val="en-US" w:eastAsia="zh-CN"/>
        </w:rPr>
      </w:pPr>
      <w:r>
        <w:rPr>
          <w:rFonts w:hint="eastAsia"/>
          <w:lang w:val="en-US" w:eastAsia="zh-CN"/>
        </w:rPr>
        <w:t>CSI based on worst IMR occasion (FFS details)</w:t>
      </w:r>
    </w:p>
    <w:p>
      <w:pPr>
        <w:numPr>
          <w:ilvl w:val="0"/>
          <w:numId w:val="13"/>
        </w:numPr>
        <w:ind w:left="420" w:hanging="420"/>
        <w:rPr>
          <w:rFonts w:hint="eastAsia"/>
          <w:lang w:val="en-US" w:eastAsia="zh-CN"/>
        </w:rPr>
      </w:pPr>
      <w:r>
        <w:rPr>
          <w:rFonts w:hint="eastAsia"/>
          <w:lang w:val="en-US" w:eastAsia="zh-CN"/>
        </w:rPr>
        <w:t>Interference standard deviation (FFS details)</w:t>
      </w:r>
    </w:p>
    <w:p>
      <w:pPr>
        <w:numPr>
          <w:ilvl w:val="0"/>
          <w:numId w:val="13"/>
        </w:numPr>
        <w:ind w:left="420" w:hanging="420"/>
        <w:rPr>
          <w:rFonts w:hint="eastAsia"/>
          <w:lang w:val="en-US" w:eastAsia="zh-CN"/>
        </w:rPr>
      </w:pPr>
      <w:r>
        <w:rPr>
          <w:rFonts w:hint="eastAsia"/>
          <w:lang w:val="en-US" w:eastAsia="zh-CN"/>
        </w:rPr>
        <w:t>Worst-M CQI (FFS details)</w:t>
      </w:r>
    </w:p>
    <w:p>
      <w:pPr>
        <w:numPr>
          <w:ilvl w:val="0"/>
          <w:numId w:val="13"/>
        </w:numPr>
        <w:ind w:left="420" w:hanging="420"/>
        <w:rPr>
          <w:rFonts w:hint="eastAsia"/>
          <w:lang w:val="en-US" w:eastAsia="zh-CN"/>
        </w:rPr>
      </w:pPr>
      <w:r>
        <w:rPr>
          <w:rFonts w:hint="eastAsia"/>
          <w:lang w:val="en-US" w:eastAsia="zh-CN"/>
        </w:rPr>
        <w:t>Increasing granularity of subband CQI (e.g. 3-bits differential subband CQI or 4-bits full subband CQI).</w:t>
      </w:r>
    </w:p>
    <w:p>
      <w:pPr>
        <w:numPr>
          <w:ilvl w:val="0"/>
          <w:numId w:val="13"/>
        </w:numPr>
        <w:ind w:left="420" w:hanging="420"/>
        <w:rPr>
          <w:rFonts w:hint="eastAsia"/>
          <w:lang w:val="en-US" w:eastAsia="zh-CN"/>
        </w:rPr>
      </w:pPr>
      <w:r>
        <w:rPr>
          <w:rFonts w:hint="eastAsia"/>
          <w:lang w:val="en-US" w:eastAsia="zh-CN"/>
        </w:rPr>
        <w:t>Updating only CQI in a report, where CQI is conditioned on a previous instance in which RI/PMI/(CRI) is updated.</w:t>
      </w:r>
    </w:p>
    <w:p>
      <w:pPr>
        <w:rPr>
          <w:lang w:eastAsia="zh-CN"/>
        </w:rPr>
      </w:pPr>
      <w:r>
        <w:rPr>
          <w:rFonts w:hint="eastAsia"/>
          <w:lang w:val="en-US" w:eastAsia="zh-CN"/>
        </w:rPr>
        <w:t>Different</w:t>
      </w:r>
      <w:r>
        <w:rPr>
          <w:lang w:eastAsia="zh-CN"/>
        </w:rPr>
        <w:t xml:space="preserve"> report quantities correspond to different CSI feedback overhead and lead to different CSI processing latency. To introduce new feedback quantity, such as directly feedback the interference value, the interference statistical information and the channel statistical information, it is necessary to define new CSI feedback overhead and new CSI processing latency according to the feedback quantization, which needs more standardization effort and requires very fine and abundant simulation comparison. Furthermore, from the simulation results in section 2.2, the performance gain obtained from the statistical information feedback is not clear.</w:t>
      </w:r>
    </w:p>
    <w:p>
      <w:pPr>
        <w:rPr>
          <w:rFonts w:hint="default"/>
          <w:i/>
          <w:iCs/>
          <w:lang w:val="en-US" w:eastAsia="zh-CN"/>
        </w:rPr>
      </w:pPr>
      <w:r>
        <w:rPr>
          <w:rFonts w:hint="eastAsia"/>
          <w:b/>
          <w:bCs/>
          <w:i/>
          <w:iCs/>
          <w:lang w:val="en-US" w:eastAsia="zh-CN"/>
        </w:rPr>
        <w:t>Observation 4:</w:t>
      </w:r>
      <w:r>
        <w:rPr>
          <w:rFonts w:hint="eastAsia"/>
          <w:i/>
          <w:iCs/>
          <w:lang w:val="en-US" w:eastAsia="zh-CN"/>
        </w:rPr>
        <w:t xml:space="preserve"> Statistical CSI and interference standard deviation report are relative complex methods, which need more standardization efforts and a long time for discussion.</w:t>
      </w:r>
    </w:p>
    <w:p>
      <w:pPr>
        <w:rPr>
          <w:rFonts w:hint="eastAsia"/>
          <w:lang w:val="en-US" w:eastAsia="zh-CN"/>
        </w:rPr>
      </w:pPr>
      <w:r>
        <w:rPr>
          <w:lang w:eastAsia="zh-CN"/>
        </w:rPr>
        <w:t xml:space="preserve">In the URLLC scenario, interference jitter is the main reason for the reliability degradation. If interference jitter can be reflected better by advanced CSI feedback or if the CSI feedback by the UE has greater tolerance for interference jitter, the negative impact of interference jitter will be greatly reduced. </w:t>
      </w:r>
      <w:r>
        <w:rPr>
          <w:rFonts w:hint="eastAsia"/>
          <w:lang w:val="en-US" w:eastAsia="zh-CN"/>
        </w:rPr>
        <w:t>Therefore, we should focus on the enhancements in the time domain to reflect the interference fluctuation. However, for worst-M CQI report, the main benefit is the CSI report overhead reduction since CSI report for sub-band has already been supported.</w:t>
      </w:r>
    </w:p>
    <w:p>
      <w:pPr>
        <w:rPr>
          <w:rFonts w:hint="default"/>
          <w:i/>
          <w:iCs/>
          <w:lang w:val="en-US" w:eastAsia="zh-CN"/>
        </w:rPr>
      </w:pPr>
      <w:r>
        <w:rPr>
          <w:rFonts w:hint="eastAsia"/>
          <w:b/>
          <w:bCs/>
          <w:i/>
          <w:iCs/>
          <w:lang w:val="en-US" w:eastAsia="zh-CN"/>
        </w:rPr>
        <w:t>Observation 5:</w:t>
      </w:r>
      <w:r>
        <w:rPr>
          <w:rFonts w:hint="eastAsia"/>
          <w:i/>
          <w:iCs/>
          <w:lang w:val="en-US" w:eastAsia="zh-CN"/>
        </w:rPr>
        <w:t xml:space="preserve"> The benefit of the worst-M sub-band CQI is the overhead reduction since CSI report for sub-band has already been supported.</w:t>
      </w:r>
    </w:p>
    <w:p>
      <w:pPr>
        <w:rPr>
          <w:rFonts w:hint="eastAsia"/>
          <w:lang w:val="en-US" w:eastAsia="zh-CN"/>
        </w:rPr>
      </w:pPr>
      <w:r>
        <w:rPr>
          <w:rFonts w:hint="eastAsia"/>
          <w:lang w:val="en-US" w:eastAsia="zh-CN"/>
        </w:rPr>
        <w:t xml:space="preserve">For CQI-only report, it is assumed that the received signal strength variation is slower than the interference. Thus, the RI/PMI report is less frequent than CQI. The benefit is the CSI reporting overhead reduction. Additionally, since there is no need to calculate the PMI and RI in the CQI-only reporting occasion, the CSI processing time can be reduced in theory. With the reduced CSI processing time for CQI-only report, the network can get the updated CQI a bit earlier based on the timely report compared with current CSI report. Then the scheduling can be more accurate based on the updated CQI. It can be predicted that there is no improvement on the more accurate MCS selection if the CSI processing time is not reduced. Therefore, the benefit on the more accurate MCS selection is derived from the reduced processing time for CQI-only report. </w:t>
      </w:r>
    </w:p>
    <w:p>
      <w:pPr>
        <w:rPr>
          <w:rFonts w:hint="default"/>
          <w:i/>
          <w:iCs/>
          <w:lang w:val="en-US" w:eastAsia="zh-CN"/>
        </w:rPr>
      </w:pPr>
      <w:r>
        <w:rPr>
          <w:rFonts w:hint="eastAsia"/>
          <w:b/>
          <w:bCs/>
          <w:i/>
          <w:iCs/>
          <w:lang w:val="en-US" w:eastAsia="zh-CN"/>
        </w:rPr>
        <w:t>Observation 6:</w:t>
      </w:r>
      <w:r>
        <w:rPr>
          <w:rFonts w:hint="eastAsia"/>
          <w:i/>
          <w:iCs/>
          <w:lang w:val="en-US" w:eastAsia="zh-CN"/>
        </w:rPr>
        <w:t xml:space="preserve"> The benefit on the </w:t>
      </w:r>
      <w:r>
        <w:rPr>
          <w:rFonts w:hint="eastAsia"/>
          <w:lang w:val="en-US" w:eastAsia="zh-CN"/>
        </w:rPr>
        <w:t xml:space="preserve">more accurate </w:t>
      </w:r>
      <w:r>
        <w:rPr>
          <w:rFonts w:hint="eastAsia"/>
          <w:i/>
          <w:iCs/>
          <w:lang w:val="en-US" w:eastAsia="zh-CN"/>
        </w:rPr>
        <w:t>MCS selection is derived from the reduced processing time for CQI-only report.</w:t>
      </w:r>
    </w:p>
    <w:p>
      <w:pPr>
        <w:rPr>
          <w:rFonts w:hint="default"/>
          <w:lang w:val="en-US" w:eastAsia="zh-CN"/>
        </w:rPr>
      </w:pPr>
      <w:r>
        <w:rPr>
          <w:rFonts w:hint="eastAsia"/>
          <w:lang w:val="en-US" w:eastAsia="zh-CN"/>
        </w:rPr>
        <w:t xml:space="preserve">How many symbols can be reduced for the CSI processing time should be carefully discussed. However, Even though we assume the CSI processing time can be reduced by a slot, it means there is only one additional slot with updated CQI per CSI reporting period compared with the current CSI report. The performance gain based on only one additional slot with updated CQI may be limited and should be further evaluated. Therefore, there are many issues to be discussed for the CQI only report, i.e., how many symbols can be reduced for CSI processing time and the corresponding performance gain. </w:t>
      </w:r>
    </w:p>
    <w:p>
      <w:pPr>
        <w:rPr>
          <w:rFonts w:hint="default"/>
          <w:i/>
          <w:iCs/>
          <w:lang w:val="en-US" w:eastAsia="zh-CN"/>
        </w:rPr>
      </w:pPr>
      <w:r>
        <w:rPr>
          <w:rFonts w:hint="eastAsia"/>
          <w:b/>
          <w:bCs/>
          <w:i/>
          <w:iCs/>
          <w:lang w:val="en-US" w:eastAsia="zh-CN"/>
        </w:rPr>
        <w:t>Observation 7:</w:t>
      </w:r>
      <w:r>
        <w:rPr>
          <w:rFonts w:hint="eastAsia"/>
          <w:i/>
          <w:iCs/>
          <w:lang w:val="en-US" w:eastAsia="zh-CN"/>
        </w:rPr>
        <w:t xml:space="preserve"> There are many issues to be discussed for the CQI only report, i.e., how many symbols can be reduced for CSI processing time and the corresponding performance gain.</w:t>
      </w:r>
    </w:p>
    <w:p>
      <w:pPr>
        <w:rPr>
          <w:lang w:eastAsia="zh-CN"/>
        </w:rPr>
      </w:pPr>
      <w:r>
        <w:rPr>
          <w:lang w:eastAsia="zh-CN"/>
        </w:rPr>
        <w:t>A relatively simple way is to enhance the filtering mechanism for interference or channel measurement.</w:t>
      </w:r>
      <w:r>
        <w:rPr>
          <w:rFonts w:hint="eastAsia"/>
          <w:lang w:val="en-US" w:eastAsia="zh-CN"/>
        </w:rPr>
        <w:t xml:space="preserve"> </w:t>
      </w:r>
      <w:r>
        <w:rPr>
          <w:lang w:eastAsia="zh-CN"/>
        </w:rPr>
        <w:t xml:space="preserve">Currently, the network can configure filtering on/off for both interference measurement and channel measurement in Rel-16. In the case of filtering off, the UE measures the channel/interference according to the last available resource occasion. However, in the case of filtering on, L1 filtering is up to UE implementation. If </w:t>
      </w:r>
      <w:r>
        <w:rPr>
          <w:rFonts w:hint="eastAsia"/>
          <w:lang w:eastAsia="zh-CN"/>
        </w:rPr>
        <w:t xml:space="preserve">network </w:t>
      </w:r>
      <w:r>
        <w:rPr>
          <w:lang w:eastAsia="zh-CN"/>
        </w:rPr>
        <w:t>can explicitly configure the channel/interference filtering to the UE, interference jitter can be reflected in the CSI feedback very well. For example, the network configure the number of the occasion participat</w:t>
      </w:r>
      <w:r>
        <w:rPr>
          <w:rFonts w:hint="eastAsia"/>
          <w:lang w:eastAsia="zh-CN"/>
        </w:rPr>
        <w:t>ing</w:t>
      </w:r>
      <w:r>
        <w:rPr>
          <w:lang w:eastAsia="zh-CN"/>
        </w:rPr>
        <w:t xml:space="preserve"> in the L1 filtering or the conditions for the UE to choose the resource occasions participat</w:t>
      </w:r>
      <w:r>
        <w:rPr>
          <w:rFonts w:hint="eastAsia"/>
          <w:lang w:eastAsia="zh-CN"/>
        </w:rPr>
        <w:t>ing</w:t>
      </w:r>
      <w:r>
        <w:rPr>
          <w:lang w:eastAsia="zh-CN"/>
        </w:rPr>
        <w:t xml:space="preserve"> in the </w:t>
      </w:r>
      <w:r>
        <w:rPr>
          <w:rFonts w:hint="eastAsia"/>
          <w:lang w:eastAsia="zh-CN"/>
        </w:rPr>
        <w:t xml:space="preserve">L1 </w:t>
      </w:r>
      <w:r>
        <w:rPr>
          <w:lang w:eastAsia="zh-CN"/>
        </w:rPr>
        <w:t>filtering. Alternatively, the network configure</w:t>
      </w:r>
      <w:r>
        <w:rPr>
          <w:rFonts w:hint="eastAsia"/>
          <w:lang w:eastAsia="zh-CN"/>
        </w:rPr>
        <w:t>s</w:t>
      </w:r>
      <w:r>
        <w:rPr>
          <w:lang w:eastAsia="zh-CN"/>
        </w:rPr>
        <w:t xml:space="preserve"> the UE to use the worst interference (e.g., the highest interference measurement result) within the L1 filtering window to obtain the CQI. The simulation results in section 2.2 prove</w:t>
      </w:r>
      <w:r>
        <w:rPr>
          <w:rFonts w:hint="eastAsia"/>
          <w:lang w:eastAsia="zh-CN"/>
        </w:rPr>
        <w:t>s</w:t>
      </w:r>
      <w:r>
        <w:rPr>
          <w:lang w:eastAsia="zh-CN"/>
        </w:rPr>
        <w:t xml:space="preserve"> that us</w:t>
      </w:r>
      <w:r>
        <w:rPr>
          <w:rFonts w:hint="eastAsia"/>
          <w:lang w:eastAsia="zh-CN"/>
        </w:rPr>
        <w:t>ing</w:t>
      </w:r>
      <w:r>
        <w:rPr>
          <w:lang w:eastAsia="zh-CN"/>
        </w:rPr>
        <w:t xml:space="preserve"> the maximum interference occasion within the period for filtering can achieve additional performance gain. </w:t>
      </w:r>
    </w:p>
    <w:p>
      <w:pPr>
        <w:rPr>
          <w:i/>
          <w:iCs/>
          <w:lang w:eastAsia="zh-CN"/>
        </w:rPr>
      </w:pPr>
      <w:r>
        <w:rPr>
          <w:b/>
          <w:bCs/>
          <w:i/>
          <w:iCs/>
          <w:lang w:eastAsia="zh-CN"/>
        </w:rPr>
        <w:t xml:space="preserve">Observation </w:t>
      </w:r>
      <w:r>
        <w:rPr>
          <w:rFonts w:hint="eastAsia"/>
          <w:b/>
          <w:bCs/>
          <w:i/>
          <w:iCs/>
          <w:lang w:val="en-US" w:eastAsia="zh-CN"/>
        </w:rPr>
        <w:t>8</w:t>
      </w:r>
      <w:r>
        <w:rPr>
          <w:b/>
          <w:bCs/>
          <w:i/>
          <w:iCs/>
          <w:lang w:eastAsia="zh-CN"/>
        </w:rPr>
        <w:t>:</w:t>
      </w:r>
      <w:r>
        <w:rPr>
          <w:i/>
          <w:iCs/>
          <w:lang w:eastAsia="zh-CN"/>
        </w:rPr>
        <w:t xml:space="preserve"> CSI report based on the worst interference can reflect the interference jitter very well so that the network scheduling </w:t>
      </w:r>
      <w:r>
        <w:rPr>
          <w:rFonts w:hint="eastAsia"/>
          <w:i/>
          <w:iCs/>
          <w:lang w:eastAsia="zh-CN"/>
        </w:rPr>
        <w:t>has a greater tolerance for</w:t>
      </w:r>
      <w:r>
        <w:rPr>
          <w:i/>
          <w:iCs/>
          <w:lang w:eastAsia="zh-CN"/>
        </w:rPr>
        <w:t xml:space="preserve"> the interference jitter to ensure the requirements of URLLC</w:t>
      </w:r>
      <w:r>
        <w:rPr>
          <w:rFonts w:hint="eastAsia"/>
          <w:i/>
          <w:iCs/>
          <w:lang w:eastAsia="zh-CN"/>
        </w:rPr>
        <w:t>, which has been justified by the provided simulation results.</w:t>
      </w:r>
    </w:p>
    <w:p>
      <w:pPr>
        <w:rPr>
          <w:lang w:eastAsia="zh-CN"/>
        </w:rPr>
      </w:pPr>
      <w:r>
        <w:rPr>
          <w:lang w:eastAsia="zh-CN"/>
        </w:rPr>
        <w:t xml:space="preserve">It may be argued that network can perform conservative scheduling without the proposed solution if required. However, it should be noted that the objective of the CSI feedback enhancement is to get the more </w:t>
      </w:r>
      <w:r>
        <w:rPr>
          <w:rFonts w:hint="eastAsia"/>
          <w:lang w:eastAsia="zh-CN"/>
        </w:rPr>
        <w:t xml:space="preserve">accurate </w:t>
      </w:r>
      <w:r>
        <w:rPr>
          <w:lang w:eastAsia="zh-CN"/>
        </w:rPr>
        <w:t xml:space="preserve">MCS selection. It means </w:t>
      </w:r>
      <w:r>
        <w:rPr>
          <w:rFonts w:hint="eastAsia"/>
          <w:lang w:eastAsia="zh-CN"/>
        </w:rPr>
        <w:t xml:space="preserve">both </w:t>
      </w:r>
      <w:r>
        <w:rPr>
          <w:lang w:eastAsia="zh-CN"/>
        </w:rPr>
        <w:t>too high MCS and too low MCS should be avoided. Without the proposed information report, the conservat</w:t>
      </w:r>
      <w:r>
        <w:rPr>
          <w:rFonts w:hint="eastAsia"/>
          <w:lang w:eastAsia="zh-CN"/>
        </w:rPr>
        <w:t>ive</w:t>
      </w:r>
      <w:r>
        <w:rPr>
          <w:lang w:eastAsia="zh-CN"/>
        </w:rPr>
        <w:t xml:space="preserve"> scheduling may lead to too low MCS since the network has to schedule the PDSCH as conservative as possible to satisfy the requirements of URLLC.</w:t>
      </w:r>
      <w:r>
        <w:rPr>
          <w:rFonts w:hint="eastAsia"/>
          <w:lang w:eastAsia="zh-CN"/>
        </w:rPr>
        <w:t xml:space="preserve"> In this case, the resource efficiency may be reduced.</w:t>
      </w:r>
    </w:p>
    <w:p>
      <w:pPr>
        <w:rPr>
          <w:i/>
          <w:iCs/>
          <w:lang w:eastAsia="zh-CN"/>
        </w:rPr>
      </w:pPr>
      <w:r>
        <w:rPr>
          <w:b/>
          <w:bCs/>
          <w:i/>
          <w:iCs/>
          <w:lang w:eastAsia="zh-CN"/>
        </w:rPr>
        <w:t xml:space="preserve">Observation </w:t>
      </w:r>
      <w:r>
        <w:rPr>
          <w:rFonts w:hint="eastAsia"/>
          <w:b/>
          <w:bCs/>
          <w:i/>
          <w:iCs/>
          <w:lang w:val="en-US" w:eastAsia="zh-CN"/>
        </w:rPr>
        <w:t>9</w:t>
      </w:r>
      <w:r>
        <w:rPr>
          <w:b/>
          <w:bCs/>
          <w:i/>
          <w:iCs/>
          <w:lang w:eastAsia="zh-CN"/>
        </w:rPr>
        <w:t>:</w:t>
      </w:r>
      <w:r>
        <w:rPr>
          <w:i/>
          <w:iCs/>
          <w:lang w:eastAsia="zh-CN"/>
        </w:rPr>
        <w:t xml:space="preserve"> Current conservative scheduling by the network may lead to </w:t>
      </w:r>
      <w:r>
        <w:rPr>
          <w:rFonts w:hint="eastAsia"/>
          <w:i/>
          <w:iCs/>
          <w:lang w:val="en-US" w:eastAsia="zh-CN"/>
        </w:rPr>
        <w:t xml:space="preserve">too </w:t>
      </w:r>
      <w:r>
        <w:rPr>
          <w:i/>
          <w:iCs/>
          <w:lang w:eastAsia="zh-CN"/>
        </w:rPr>
        <w:t>low MCS.</w:t>
      </w:r>
    </w:p>
    <w:p>
      <w:pPr>
        <w:rPr>
          <w:i/>
          <w:iCs/>
          <w:lang w:eastAsia="zh-CN"/>
        </w:rPr>
      </w:pPr>
      <w:r>
        <w:rPr>
          <w:b/>
          <w:bCs/>
          <w:i/>
          <w:iCs/>
          <w:lang w:eastAsia="zh-CN"/>
        </w:rPr>
        <w:t xml:space="preserve">Proposal </w:t>
      </w:r>
      <w:r>
        <w:rPr>
          <w:rFonts w:hint="eastAsia"/>
          <w:b/>
          <w:bCs/>
          <w:i/>
          <w:iCs/>
          <w:lang w:eastAsia="zh-CN"/>
        </w:rPr>
        <w:t>1</w:t>
      </w:r>
      <w:r>
        <w:rPr>
          <w:b/>
          <w:bCs/>
          <w:i/>
          <w:iCs/>
          <w:lang w:eastAsia="zh-CN"/>
        </w:rPr>
        <w:t>:</w:t>
      </w:r>
      <w:r>
        <w:rPr>
          <w:i/>
          <w:iCs/>
          <w:lang w:eastAsia="zh-CN"/>
        </w:rPr>
        <w:t xml:space="preserve"> Enhancement on interference filtering configuration should be supported</w:t>
      </w:r>
      <w:r>
        <w:rPr>
          <w:rFonts w:hint="eastAsia"/>
          <w:i/>
          <w:iCs/>
          <w:lang w:eastAsia="zh-CN"/>
        </w:rPr>
        <w:t>, e.g.</w:t>
      </w:r>
      <w:r>
        <w:rPr>
          <w:i/>
          <w:iCs/>
          <w:lang w:eastAsia="zh-CN"/>
        </w:rPr>
        <w:t xml:space="preserve"> CSI report based on the worst interference.</w:t>
      </w:r>
    </w:p>
    <w:p>
      <w:pPr>
        <w:pStyle w:val="3"/>
        <w:rPr>
          <w:lang w:val="en-US" w:eastAsia="zh-CN"/>
        </w:rPr>
      </w:pPr>
      <w:r>
        <w:rPr>
          <w:lang w:val="en-US" w:eastAsia="zh-CN"/>
        </w:rPr>
        <w:t>Discussion on case 2 report</w:t>
      </w:r>
    </w:p>
    <w:p>
      <w:pPr>
        <w:rPr>
          <w:lang w:eastAsia="zh-CN"/>
        </w:rPr>
      </w:pPr>
      <w:r>
        <w:rPr>
          <w:lang w:eastAsia="zh-CN"/>
        </w:rPr>
        <w:t xml:space="preserve">For Case-2 report, the measurement is based on the PDSCH decoding. More information are feedback together with the HARQ-ACK for OLLA performed </w:t>
      </w:r>
      <w:r>
        <w:rPr>
          <w:rFonts w:hint="eastAsia"/>
          <w:lang w:eastAsia="zh-CN"/>
        </w:rPr>
        <w:t xml:space="preserve">at </w:t>
      </w:r>
      <w:r>
        <w:rPr>
          <w:lang w:eastAsia="zh-CN"/>
        </w:rPr>
        <w:t>the network</w:t>
      </w:r>
      <w:r>
        <w:rPr>
          <w:rFonts w:hint="eastAsia"/>
          <w:lang w:eastAsia="zh-CN"/>
        </w:rPr>
        <w:t xml:space="preserve"> side</w:t>
      </w:r>
      <w:r>
        <w:rPr>
          <w:lang w:eastAsia="zh-CN"/>
        </w:rPr>
        <w:t>. With such information, the network can adjust the MCS more efficiently than the traditional OLLA based on HARQ-ACK</w:t>
      </w:r>
      <w:r>
        <w:rPr>
          <w:rFonts w:hint="eastAsia"/>
          <w:lang w:eastAsia="zh-CN"/>
        </w:rPr>
        <w:t xml:space="preserve"> only</w:t>
      </w:r>
      <w:r>
        <w:rPr>
          <w:lang w:eastAsia="zh-CN"/>
        </w:rPr>
        <w:t xml:space="preserve">. If the NACK happens, the corresponding retransmission must be decoded successfully due to the high requirement of URLLC. It means that the network should scheduling the retransmission more carefully. </w:t>
      </w:r>
      <w:r>
        <w:rPr>
          <w:rFonts w:hint="eastAsia"/>
          <w:lang w:eastAsia="zh-CN"/>
        </w:rPr>
        <w:t xml:space="preserve">In this case, the additional information feedback can help the network perform more accurate scheduling. </w:t>
      </w:r>
      <w:r>
        <w:rPr>
          <w:lang w:eastAsia="zh-CN"/>
        </w:rPr>
        <w:t xml:space="preserve">If the ACK happens, the traditional OLLA based on ACK feedback is sufficient. The additional report in case of NACK is more important. Therefore, the multi-level NACK feedback is slightly preferred. </w:t>
      </w:r>
    </w:p>
    <w:p>
      <w:pPr>
        <w:rPr>
          <w:rFonts w:hint="eastAsia"/>
          <w:lang w:val="en-US" w:eastAsia="zh-CN"/>
        </w:rPr>
      </w:pPr>
      <w:r>
        <w:rPr>
          <w:rFonts w:hint="eastAsia"/>
          <w:lang w:val="en-US" w:eastAsia="zh-CN"/>
        </w:rPr>
        <w:t>How to determine the multi-level NACK feedback based on the PDSCH decoding is up to UE implementation. For example, it</w:t>
      </w:r>
      <w:r>
        <w:rPr>
          <w:lang w:eastAsia="zh-CN"/>
        </w:rPr>
        <w:t xml:space="preserve"> is based on Delta SINR obtained through PDSCH decoding, and Delta SINR = Target SINR - Effective SINR. </w:t>
      </w:r>
      <w:r>
        <w:rPr>
          <w:rFonts w:hint="eastAsia"/>
          <w:lang w:val="en-US" w:eastAsia="zh-CN"/>
        </w:rPr>
        <w:t>For the report quantity, if the delta SINR is reported, it is directly used for the network to adjust the backoff for the subsequent scheduling. For example, backoff</w:t>
      </w:r>
      <w:r>
        <w:rPr>
          <w:rFonts w:hint="eastAsia"/>
          <w:vertAlign w:val="subscript"/>
          <w:lang w:val="en-US" w:eastAsia="zh-CN"/>
        </w:rPr>
        <w:t>new</w:t>
      </w:r>
      <w:r>
        <w:rPr>
          <w:rFonts w:hint="eastAsia"/>
          <w:lang w:val="en-US" w:eastAsia="zh-CN"/>
        </w:rPr>
        <w:t>=backoff</w:t>
      </w:r>
      <w:r>
        <w:rPr>
          <w:rFonts w:hint="eastAsia"/>
          <w:vertAlign w:val="subscript"/>
          <w:lang w:val="en-US" w:eastAsia="zh-CN"/>
        </w:rPr>
        <w:t>old</w:t>
      </w:r>
      <w:r>
        <w:rPr>
          <w:rFonts w:hint="eastAsia"/>
          <w:lang w:val="en-US" w:eastAsia="zh-CN"/>
        </w:rPr>
        <w:t>+</w:t>
      </w:r>
      <w:r>
        <w:rPr>
          <w:rFonts w:hint="default" w:ascii="Times New Roman" w:hAnsi="Times New Roman" w:cs="Times New Roman"/>
          <w:lang w:val="en-US" w:eastAsia="zh-CN"/>
        </w:rPr>
        <w:t>Δ</w:t>
      </w:r>
      <w:r>
        <w:rPr>
          <w:rFonts w:hint="eastAsia"/>
          <w:vertAlign w:val="subscript"/>
          <w:lang w:val="en-US" w:eastAsia="zh-CN"/>
        </w:rPr>
        <w:t>SINR</w:t>
      </w:r>
      <w:r>
        <w:rPr>
          <w:rFonts w:hint="eastAsia"/>
          <w:lang w:val="en-US" w:eastAsia="zh-CN"/>
        </w:rPr>
        <w:t xml:space="preserve">, where </w:t>
      </w:r>
      <w:r>
        <w:rPr>
          <w:rFonts w:hint="default" w:ascii="Times New Roman" w:hAnsi="Times New Roman" w:cs="Times New Roman"/>
          <w:lang w:val="en-US" w:eastAsia="zh-CN"/>
        </w:rPr>
        <w:t>Δ</w:t>
      </w:r>
      <w:r>
        <w:rPr>
          <w:rFonts w:hint="eastAsia"/>
          <w:vertAlign w:val="subscript"/>
          <w:lang w:val="en-US" w:eastAsia="zh-CN"/>
        </w:rPr>
        <w:t>SINR</w:t>
      </w:r>
      <w:r>
        <w:rPr>
          <w:rFonts w:hint="eastAsia"/>
          <w:lang w:val="en-US" w:eastAsia="zh-CN"/>
        </w:rPr>
        <w:t xml:space="preserve"> is reported by the UE. If the delta CQI/MCS is reported, it indicates the MCS recommended by the UE according to the current channel state. Considering the report overhead, a differential CQI/MCS report</w:t>
      </w:r>
      <w:bookmarkStart w:id="10" w:name="_GoBack"/>
      <w:bookmarkEnd w:id="10"/>
      <w:r>
        <w:rPr>
          <w:rFonts w:hint="eastAsia"/>
          <w:lang w:val="en-US" w:eastAsia="zh-CN"/>
        </w:rPr>
        <w:t xml:space="preserve"> relative to the scheduled MCS for the previous PDSCH can be used. </w:t>
      </w:r>
    </w:p>
    <w:p>
      <w:pPr>
        <w:rPr>
          <w:lang w:eastAsia="zh-CN"/>
        </w:rPr>
      </w:pPr>
      <w:r>
        <w:rPr>
          <w:rFonts w:hint="eastAsia"/>
          <w:lang w:val="en-US" w:eastAsia="zh-CN"/>
        </w:rPr>
        <w:t xml:space="preserve">For the granularity, 2 bits or 3 bits for the multi-NACK report are good balance between the report overhead and the performance gain. </w:t>
      </w:r>
      <w:r>
        <w:rPr>
          <w:lang w:eastAsia="zh-CN"/>
        </w:rPr>
        <w:t>In the simulation above, the Delta SINR is quantized as 3 bits, so the feedback overhead is only 3 bits</w:t>
      </w:r>
      <w:r>
        <w:rPr>
          <w:rFonts w:hint="eastAsia"/>
          <w:lang w:val="en-US" w:eastAsia="zh-CN"/>
        </w:rPr>
        <w:t xml:space="preserve"> (including ACK as one state)</w:t>
      </w:r>
      <w:r>
        <w:rPr>
          <w:lang w:eastAsia="zh-CN"/>
        </w:rPr>
        <w:t>. According to our simulation results in section 2.3, when the OLLA operation is further optimized based on Delta SINR, the system performance is greatly improved compared with other cases. In addition, the feedback overhead is very small. Compared with Case-1 solutions, the feedback resource can be greatly saved. Therefore, we believe that this feedback method with measurement based on PDSCH can be supported.</w:t>
      </w:r>
    </w:p>
    <w:p>
      <w:pPr>
        <w:rPr>
          <w:i/>
          <w:iCs/>
          <w:lang w:eastAsia="zh-CN"/>
        </w:rPr>
      </w:pPr>
      <w:r>
        <w:rPr>
          <w:b/>
          <w:bCs/>
          <w:i/>
          <w:iCs/>
          <w:lang w:eastAsia="zh-CN"/>
        </w:rPr>
        <w:t xml:space="preserve">Proposal </w:t>
      </w:r>
      <w:r>
        <w:rPr>
          <w:rFonts w:hint="eastAsia"/>
          <w:b/>
          <w:bCs/>
          <w:i/>
          <w:iCs/>
          <w:lang w:eastAsia="zh-CN"/>
        </w:rPr>
        <w:t>2</w:t>
      </w:r>
      <w:r>
        <w:rPr>
          <w:b/>
          <w:bCs/>
          <w:i/>
          <w:iCs/>
          <w:lang w:eastAsia="zh-CN"/>
        </w:rPr>
        <w:t>:</w:t>
      </w:r>
      <w:r>
        <w:rPr>
          <w:i/>
          <w:iCs/>
          <w:lang w:eastAsia="zh-CN"/>
        </w:rPr>
        <w:t xml:space="preserve"> Support new report of Case-2 in Rel-17, such as multi-level NACK feedback obtained through PDSCH decoding.</w:t>
      </w:r>
    </w:p>
    <w:p>
      <w:pPr>
        <w:pStyle w:val="3"/>
        <w:rPr>
          <w:lang w:val="en-US" w:eastAsia="zh-CN"/>
        </w:rPr>
      </w:pPr>
      <w:r>
        <w:rPr>
          <w:lang w:val="en-US" w:eastAsia="zh-CN"/>
        </w:rPr>
        <w:t>Discussion on the A-CSI on PUCCH</w:t>
      </w:r>
    </w:p>
    <w:p>
      <w:pPr>
        <w:pStyle w:val="4"/>
        <w:rPr>
          <w:lang w:val="en-US" w:eastAsia="zh-CN"/>
        </w:rPr>
      </w:pPr>
      <w:r>
        <w:rPr>
          <w:lang w:val="en-US" w:eastAsia="zh-CN"/>
        </w:rPr>
        <w:t>Support of A-CSI on PUCCH</w:t>
      </w:r>
    </w:p>
    <w:p>
      <w:pPr>
        <w:rPr>
          <w:lang w:eastAsia="zh-CN"/>
        </w:rPr>
      </w:pPr>
      <w:r>
        <w:rPr>
          <w:lang w:eastAsia="zh-CN"/>
        </w:rPr>
        <w:t>Aperiodic CSI report on PUSCH has been supported in Rel-16. According to the simulation results in section 2.1, supporting A-CSI report on PUCCH can bring obvious gain and avoid the UL Grant overhead caused by triggering A-CSI report on PUSCH. Therefore, Rel-17 should support A-CSI report on PUCCH.</w:t>
      </w:r>
    </w:p>
    <w:p>
      <w:pPr>
        <w:rPr>
          <w:i/>
          <w:iCs/>
          <w:lang w:eastAsia="zh-CN"/>
        </w:rPr>
      </w:pPr>
      <w:r>
        <w:rPr>
          <w:b/>
          <w:bCs/>
          <w:i/>
          <w:iCs/>
          <w:lang w:eastAsia="zh-CN"/>
        </w:rPr>
        <w:t xml:space="preserve">Proposal </w:t>
      </w:r>
      <w:r>
        <w:rPr>
          <w:rFonts w:hint="eastAsia"/>
          <w:b/>
          <w:bCs/>
          <w:i/>
          <w:iCs/>
          <w:lang w:eastAsia="zh-CN"/>
        </w:rPr>
        <w:t>3</w:t>
      </w:r>
      <w:r>
        <w:rPr>
          <w:b/>
          <w:bCs/>
          <w:i/>
          <w:iCs/>
          <w:lang w:eastAsia="zh-CN"/>
        </w:rPr>
        <w:t>:</w:t>
      </w:r>
      <w:r>
        <w:rPr>
          <w:i/>
          <w:iCs/>
          <w:lang w:eastAsia="zh-CN"/>
        </w:rPr>
        <w:t xml:space="preserve"> Support A-CSI on PUCCH in Rel-17.</w:t>
      </w:r>
    </w:p>
    <w:p>
      <w:pPr>
        <w:pStyle w:val="4"/>
        <w:rPr>
          <w:lang w:val="en-US" w:eastAsia="zh-CN"/>
        </w:rPr>
      </w:pPr>
      <w:r>
        <w:rPr>
          <w:rFonts w:hint="eastAsia"/>
          <w:lang w:val="en-US" w:eastAsia="zh-CN"/>
        </w:rPr>
        <w:t>PUCCH trigger mechanism</w:t>
      </w:r>
    </w:p>
    <w:p>
      <w:pPr>
        <w:rPr>
          <w:lang w:eastAsia="zh-CN"/>
        </w:rPr>
      </w:pPr>
      <w:r>
        <w:rPr>
          <w:lang w:eastAsia="zh-CN"/>
        </w:rPr>
        <w:t>The following alternatives can be considered as A-CSI triggering mechanism:</w:t>
      </w:r>
    </w:p>
    <w:p>
      <w:pPr>
        <w:numPr>
          <w:ilvl w:val="0"/>
          <w:numId w:val="14"/>
        </w:numPr>
        <w:rPr>
          <w:lang w:eastAsia="zh-CN"/>
        </w:rPr>
      </w:pPr>
      <w:r>
        <w:rPr>
          <w:lang w:eastAsia="zh-CN"/>
        </w:rPr>
        <w:t>Alt 1：Triggering by a new ‘CSI Request’ field in DL grant</w:t>
      </w:r>
    </w:p>
    <w:p>
      <w:pPr>
        <w:numPr>
          <w:ilvl w:val="0"/>
          <w:numId w:val="14"/>
        </w:numPr>
        <w:rPr>
          <w:lang w:eastAsia="zh-CN"/>
        </w:rPr>
      </w:pPr>
      <w:r>
        <w:rPr>
          <w:lang w:eastAsia="zh-CN"/>
        </w:rPr>
        <w:t>Alt 2：Triggering by some existing field in DL grant</w:t>
      </w:r>
    </w:p>
    <w:p>
      <w:pPr>
        <w:numPr>
          <w:ilvl w:val="0"/>
          <w:numId w:val="14"/>
        </w:numPr>
        <w:rPr>
          <w:lang w:eastAsia="zh-CN"/>
        </w:rPr>
      </w:pPr>
      <w:r>
        <w:rPr>
          <w:lang w:eastAsia="zh-CN"/>
        </w:rPr>
        <w:t>Alt 3：Triggering by group-common DCI</w:t>
      </w:r>
    </w:p>
    <w:p>
      <w:pPr>
        <w:numPr>
          <w:ilvl w:val="0"/>
          <w:numId w:val="14"/>
        </w:numPr>
        <w:rPr>
          <w:lang w:eastAsia="zh-CN"/>
        </w:rPr>
      </w:pPr>
      <w:r>
        <w:rPr>
          <w:lang w:eastAsia="zh-CN"/>
        </w:rPr>
        <w:t>Alt 4：Triggering by NACK</w:t>
      </w:r>
    </w:p>
    <w:p>
      <w:pPr>
        <w:rPr>
          <w:lang w:eastAsia="zh-CN"/>
        </w:rPr>
      </w:pPr>
      <w:r>
        <w:rPr>
          <w:lang w:eastAsia="zh-CN"/>
        </w:rPr>
        <w:t>We evaluated the traditional UL Grant triggering, DL Grant triggering in section 2.1, and the NACK triggering in section 2.3. UL Grant triggering needs additional UL Grant overhead, which is prone to PDCCH blocking under high load case. Therefore, DL Grant triggering should be supported as a basic enhancement mode in Rel-17.</w:t>
      </w:r>
    </w:p>
    <w:p>
      <w:pPr>
        <w:rPr>
          <w:lang w:eastAsia="zh-CN"/>
        </w:rPr>
      </w:pPr>
      <w:r>
        <w:rPr>
          <w:lang w:eastAsia="zh-CN"/>
        </w:rPr>
        <w:t>Alt 1 is the simplest way by copying the 'CSI Request' field in UL Grant into DL grant. 'CSI Request' field can indicate a specific trigger state value. gNB configures the associated CSI report configuration(s) and CSI-RS/CSI-IM resources for each trigger state value. In this way, the gNB can trigger A-CSI feedback dynamically and flexibly on demand.</w:t>
      </w:r>
    </w:p>
    <w:p>
      <w:pPr>
        <w:rPr>
          <w:lang w:eastAsia="zh-CN"/>
        </w:rPr>
      </w:pPr>
      <w:r>
        <w:rPr>
          <w:lang w:eastAsia="zh-CN"/>
        </w:rPr>
        <w:t>It is convenient to use existing field in DL grant to indicate whether or not to trigger A-CSI feedback for Alt 2. However, it is difficult to find an existing field in DL grant to further instruct CSI report configuration and CSI-RS/CSI-IM resource. Therefore, for Alt 2, CSI report configuration and CSI-RS/CSI-IM resource should be simplified. For example, the gNB can semi-statically configure a specific CSI report configuration and CSI-RS/CSI-IM resource for the enhanced A-CSI feedback, and only use the existing field in DL grant to indicate whether or not to trigger the configured A-CSI feedback. In a word, this way is more like the A-CSI feedback triggering mode that has been abridged. If there is no need to consider too many options for CSI report configuration and CSI-RS/CSI-IM Resource, this method is also feasible.</w:t>
      </w:r>
    </w:p>
    <w:p>
      <w:pPr>
        <w:rPr>
          <w:lang w:eastAsia="zh-CN"/>
        </w:rPr>
      </w:pPr>
      <w:r>
        <w:rPr>
          <w:lang w:eastAsia="zh-CN"/>
        </w:rPr>
        <w:t xml:space="preserve">Alt 3 seems more resource efficient since the group-common DCI could trigger more than one UEs to report A-CSI. However, it is most likely that the packet arrival for different UEs is not synchronous, and hence it is unnecessary to trigger multiple UEs to feedback A-CSI at the same time. For each triggering, only a few bits are actually used to trigger A-CSI for each UE, which makes the resource of group-common DCI inefficient in case that few UEs can be grouped together. </w:t>
      </w:r>
    </w:p>
    <w:p>
      <w:pPr>
        <w:rPr>
          <w:lang w:eastAsia="zh-CN"/>
        </w:rPr>
      </w:pPr>
      <w:r>
        <w:rPr>
          <w:lang w:eastAsia="zh-CN"/>
        </w:rPr>
        <w:t xml:space="preserve">For Alt 4, the performance in section 2.3 is pretty good. For the case of Delta SINR feedback and with OLLA enhancement, Alt 4 has the best performance in terms of percentage of satisfied UEs. </w:t>
      </w:r>
    </w:p>
    <w:p>
      <w:pPr>
        <w:rPr>
          <w:lang w:eastAsia="zh-CN"/>
        </w:rPr>
      </w:pPr>
      <w:r>
        <w:rPr>
          <w:lang w:eastAsia="zh-CN"/>
        </w:rPr>
        <w:t>Furthermore, Alt 4 can be enabled or disabled by gNB dynamically or semi-statically through DL grant or RRC configuration, so that the gNB can control PUCCH feedback resource overhead better.</w:t>
      </w:r>
    </w:p>
    <w:p>
      <w:pPr>
        <w:rPr>
          <w:i/>
          <w:iCs/>
          <w:lang w:eastAsia="zh-CN"/>
        </w:rPr>
      </w:pPr>
      <w:r>
        <w:rPr>
          <w:b/>
          <w:bCs/>
          <w:i/>
          <w:iCs/>
          <w:lang w:eastAsia="zh-CN"/>
        </w:rPr>
        <w:t xml:space="preserve">Proposal </w:t>
      </w:r>
      <w:r>
        <w:rPr>
          <w:rFonts w:hint="eastAsia"/>
          <w:b/>
          <w:bCs/>
          <w:i/>
          <w:iCs/>
          <w:lang w:eastAsia="zh-CN"/>
        </w:rPr>
        <w:t>4</w:t>
      </w:r>
      <w:r>
        <w:rPr>
          <w:b/>
          <w:bCs/>
          <w:i/>
          <w:iCs/>
          <w:lang w:eastAsia="zh-CN"/>
        </w:rPr>
        <w:t>:</w:t>
      </w:r>
      <w:r>
        <w:rPr>
          <w:i/>
          <w:iCs/>
          <w:lang w:eastAsia="zh-CN"/>
        </w:rPr>
        <w:t xml:space="preserve"> Support both DL grant based A-CSI triggering and NACK based A-CSI triggering in Rel-17.</w:t>
      </w:r>
    </w:p>
    <w:p>
      <w:pPr>
        <w:pStyle w:val="4"/>
        <w:rPr>
          <w:lang w:val="en-US" w:eastAsia="zh-CN"/>
        </w:rPr>
      </w:pPr>
      <w:r>
        <w:rPr>
          <w:rFonts w:hint="eastAsia"/>
          <w:lang w:val="en-US" w:eastAsia="zh-CN"/>
        </w:rPr>
        <w:t>PUCCH resource</w:t>
      </w:r>
    </w:p>
    <w:p>
      <w:pPr>
        <w:rPr>
          <w:lang w:eastAsia="zh-CN"/>
        </w:rPr>
      </w:pPr>
      <w:r>
        <w:rPr>
          <w:lang w:eastAsia="zh-CN"/>
        </w:rPr>
        <w:t>There are two alternatives to be considered for PUCCH resource determination:</w:t>
      </w:r>
    </w:p>
    <w:p>
      <w:pPr>
        <w:numPr>
          <w:ilvl w:val="0"/>
          <w:numId w:val="14"/>
        </w:numPr>
        <w:rPr>
          <w:lang w:eastAsia="zh-CN"/>
        </w:rPr>
      </w:pPr>
      <w:r>
        <w:rPr>
          <w:lang w:eastAsia="zh-CN"/>
        </w:rPr>
        <w:t>Alt 1：Multiplexing A-CSI and HARQ-ACK on the same PUCCH resource</w:t>
      </w:r>
    </w:p>
    <w:p>
      <w:pPr>
        <w:numPr>
          <w:ilvl w:val="0"/>
          <w:numId w:val="14"/>
        </w:numPr>
        <w:rPr>
          <w:lang w:eastAsia="zh-CN"/>
        </w:rPr>
      </w:pPr>
      <w:r>
        <w:rPr>
          <w:lang w:eastAsia="zh-CN"/>
        </w:rPr>
        <w:t xml:space="preserve">Alt 2：Feedback A-CSI on a PUCCH resource independent of HARQ-ACK </w:t>
      </w:r>
    </w:p>
    <w:p>
      <w:pPr>
        <w:rPr>
          <w:lang w:eastAsia="zh-CN"/>
        </w:rPr>
      </w:pPr>
      <w:r>
        <w:rPr>
          <w:lang w:eastAsia="zh-CN"/>
        </w:rPr>
        <w:t xml:space="preserve">According to the CSI computation delay requirement Z/Z’ and HARQ-ACK processing delay requirement </w:t>
      </w:r>
      <w:r>
        <w:rPr>
          <w:i/>
          <w:iCs/>
          <w:lang w:eastAsia="zh-CN"/>
        </w:rPr>
        <w:t>T</w:t>
      </w:r>
      <w:r>
        <w:rPr>
          <w:i/>
          <w:iCs/>
          <w:vertAlign w:val="subscript"/>
          <w:lang w:eastAsia="zh-CN"/>
        </w:rPr>
        <w:t>proc,1</w:t>
      </w:r>
      <w:r>
        <w:rPr>
          <w:lang w:eastAsia="zh-CN"/>
        </w:rPr>
        <w:t xml:space="preserve"> defined in [</w:t>
      </w:r>
      <w:r>
        <w:rPr>
          <w:rFonts w:hint="eastAsia"/>
          <w:lang w:val="en-US" w:eastAsia="zh-CN"/>
        </w:rPr>
        <w:t>3</w:t>
      </w:r>
      <w:r>
        <w:rPr>
          <w:lang w:eastAsia="zh-CN"/>
        </w:rPr>
        <w:t xml:space="preserve">]. In most cases, Z/Z’ is obviously larger than </w:t>
      </w:r>
      <w:r>
        <w:rPr>
          <w:i/>
          <w:iCs/>
          <w:lang w:eastAsia="zh-CN"/>
        </w:rPr>
        <w:t>T</w:t>
      </w:r>
      <w:r>
        <w:rPr>
          <w:i/>
          <w:iCs/>
          <w:vertAlign w:val="subscript"/>
          <w:lang w:eastAsia="zh-CN"/>
        </w:rPr>
        <w:t>proc,1</w:t>
      </w:r>
      <w:r>
        <w:rPr>
          <w:lang w:eastAsia="zh-CN"/>
        </w:rPr>
        <w:t xml:space="preserve">. Therefore, for CSI feedback based on CSI-RS/CSI-IM resource measurement, to avoid the extra delay of HARQ-ACK feedback, only Alt 2 can be used. </w:t>
      </w:r>
    </w:p>
    <w:p>
      <w:pPr>
        <w:rPr>
          <w:lang w:eastAsia="zh-CN"/>
        </w:rPr>
      </w:pPr>
      <w:r>
        <w:rPr>
          <w:lang w:eastAsia="zh-CN"/>
        </w:rPr>
        <w:t>For the CSI feedback based on PDSCH measurement, both Alt 1 and Alt 2 can support, Alt 1 is preferred. No matter Alt 1 or Alt 2, the gNB needs to firstly demodulate the HARQ-ACK feedback, and then decide whether to receive the A-CSI feedback according to the HARQ-ACK feedback content. Therefore, if Alt 1 is used, HARQ-ACK and A-CSI carried on the same PUCCH resource should be coded separately.</w:t>
      </w:r>
    </w:p>
    <w:p>
      <w:pPr>
        <w:rPr>
          <w:lang w:eastAsia="zh-CN"/>
        </w:rPr>
      </w:pPr>
      <w:r>
        <w:rPr>
          <w:lang w:eastAsia="zh-CN"/>
        </w:rPr>
        <w:t>The advantage of Alt 1 is that it is not necessary to separately indicate the A-CSI PUCCH resource. It is possible to multiplex the HARQ-ACK and A-CSI report in the same PUCCH resource based on the existing PRI and K1. The PUCCH resource may carry HARQ-ACK feedback only or both HARQ-ACK feedback and A-CSI feedback. Therefore, the PUCCH format and PUCCH resource size should be carefully configured to meet the requirements for the two load cases.</w:t>
      </w:r>
    </w:p>
    <w:p>
      <w:pPr>
        <w:rPr>
          <w:lang w:eastAsia="zh-CN"/>
        </w:rPr>
      </w:pPr>
      <w:r>
        <w:rPr>
          <w:lang w:eastAsia="zh-CN"/>
        </w:rPr>
        <w:t>The advantage of Alt 2 is that HARQ-ACK PUCCH resource and A-CSI PUCCH resource can be configured independently. But the disadvantage is that additional overhead to indicate the UE the A-CSI PUCCH resource.</w:t>
      </w:r>
    </w:p>
    <w:p>
      <w:pPr>
        <w:rPr>
          <w:lang w:eastAsia="zh-CN"/>
        </w:rPr>
      </w:pPr>
      <w:r>
        <w:rPr>
          <w:lang w:eastAsia="zh-CN"/>
        </w:rPr>
        <w:t>Based on the above analysis, we believe that both of Alt 1 and Alt 2 should be further studied.</w:t>
      </w:r>
    </w:p>
    <w:p>
      <w:pPr>
        <w:rPr>
          <w:i/>
          <w:iCs/>
          <w:lang w:eastAsia="zh-CN"/>
        </w:rPr>
      </w:pPr>
      <w:r>
        <w:rPr>
          <w:b/>
          <w:bCs/>
          <w:i/>
          <w:iCs/>
          <w:lang w:eastAsia="zh-CN"/>
        </w:rPr>
        <w:t>Proposal 5:</w:t>
      </w:r>
      <w:r>
        <w:rPr>
          <w:i/>
          <w:iCs/>
          <w:lang w:eastAsia="zh-CN"/>
        </w:rPr>
        <w:t xml:space="preserve"> It needs to further study whether the A-CSI should be transmitted in the same PUCCH carrying HARQ-ACK.</w:t>
      </w:r>
    </w:p>
    <w:p>
      <w:pPr>
        <w:pStyle w:val="4"/>
        <w:rPr>
          <w:lang w:val="en-US" w:eastAsia="zh-CN"/>
        </w:rPr>
      </w:pPr>
      <w:r>
        <w:rPr>
          <w:rFonts w:hint="eastAsia"/>
          <w:lang w:val="en-US" w:eastAsia="zh-CN"/>
        </w:rPr>
        <w:t>PUCCH priority</w:t>
      </w:r>
    </w:p>
    <w:p>
      <w:pPr>
        <w:rPr>
          <w:lang w:eastAsia="zh-CN"/>
        </w:rPr>
      </w:pPr>
      <w:r>
        <w:rPr>
          <w:lang w:eastAsia="zh-CN"/>
        </w:rPr>
        <w:t>For P/SP-CSI on PUCCH, following the principle in Rel-16, which is only supporting priority index 0 is enough.</w:t>
      </w:r>
    </w:p>
    <w:p>
      <w:pPr>
        <w:rPr>
          <w:lang w:eastAsia="zh-CN"/>
        </w:rPr>
      </w:pPr>
      <w:r>
        <w:rPr>
          <w:lang w:eastAsia="zh-CN"/>
        </w:rPr>
        <w:t xml:space="preserve">Considering the potential conflict between multiple PUCCHs or PUCCH and PUSCH, it is necessary to determine the priority for A-CSI on PUCCH. For A-CSI on PUCCH, the A-CSI feedback priority can be associated with the HARQ-ACK feedback priority. When scheduling the PDSCH by a DL grant, the PI field in the DL grant can also be used to indicate the priority of the A-CSI feedback triggered by this DL grant or the corresponding NACK.  </w:t>
      </w:r>
    </w:p>
    <w:p>
      <w:pPr>
        <w:rPr>
          <w:i/>
          <w:iCs/>
          <w:lang w:eastAsia="zh-CN"/>
        </w:rPr>
      </w:pPr>
      <w:r>
        <w:rPr>
          <w:b/>
          <w:bCs/>
          <w:i/>
          <w:iCs/>
          <w:lang w:eastAsia="zh-CN"/>
        </w:rPr>
        <w:t>Proposal 6:</w:t>
      </w:r>
      <w:r>
        <w:rPr>
          <w:i/>
          <w:iCs/>
          <w:lang w:eastAsia="zh-CN"/>
        </w:rPr>
        <w:t xml:space="preserve"> Only priority index 0 is applicable to P/SP-CSI on PUCCH.</w:t>
      </w:r>
    </w:p>
    <w:p>
      <w:pPr>
        <w:rPr>
          <w:lang w:eastAsia="zh-CN"/>
        </w:rPr>
      </w:pPr>
      <w:r>
        <w:rPr>
          <w:b/>
          <w:bCs/>
          <w:i/>
          <w:iCs/>
          <w:lang w:eastAsia="zh-CN"/>
        </w:rPr>
        <w:t>Proposal 7:</w:t>
      </w:r>
      <w:r>
        <w:rPr>
          <w:i/>
          <w:iCs/>
          <w:lang w:eastAsia="zh-CN"/>
        </w:rPr>
        <w:t xml:space="preserve"> The A-CSI on PUCCH priority can be indicated by the PI field in the DL grant.</w:t>
      </w:r>
    </w:p>
    <w:p>
      <w:pPr>
        <w:pStyle w:val="2"/>
        <w:rPr>
          <w:lang w:val="en-US" w:eastAsia="zh-CN"/>
        </w:rPr>
      </w:pPr>
      <w:r>
        <w:rPr>
          <w:lang w:val="en-US" w:eastAsia="zh-CN"/>
        </w:rPr>
        <w:t>Conclusion</w:t>
      </w:r>
    </w:p>
    <w:p>
      <w:pPr>
        <w:rPr>
          <w:lang w:eastAsia="zh-CN"/>
        </w:rPr>
      </w:pPr>
      <w:r>
        <w:rPr>
          <w:lang w:eastAsia="zh-CN"/>
        </w:rPr>
        <w:t>According to the analysis above, we have the following observations and proposals:</w:t>
      </w:r>
    </w:p>
    <w:p>
      <w:pPr>
        <w:rPr>
          <w:i/>
          <w:iCs/>
          <w:lang w:eastAsia="zh-CN"/>
        </w:rPr>
      </w:pPr>
      <w:r>
        <w:rPr>
          <w:b/>
          <w:bCs/>
          <w:i/>
          <w:iCs/>
          <w:lang w:eastAsia="zh-CN"/>
        </w:rPr>
        <w:t>Observation 1:</w:t>
      </w:r>
      <w:r>
        <w:rPr>
          <w:i/>
          <w:iCs/>
          <w:lang w:eastAsia="zh-CN"/>
        </w:rPr>
        <w:t xml:space="preserve"> A-CSI on PUCCH has better performance than A-CSI on PUSCH and P/SP-CSI.</w:t>
      </w:r>
    </w:p>
    <w:p>
      <w:pPr>
        <w:rPr>
          <w:i/>
          <w:iCs/>
          <w:lang w:eastAsia="zh-CN"/>
        </w:rPr>
      </w:pPr>
      <w:r>
        <w:rPr>
          <w:b/>
          <w:bCs/>
          <w:i/>
          <w:iCs/>
          <w:lang w:eastAsia="zh-CN"/>
        </w:rPr>
        <w:t>Observation 2:</w:t>
      </w:r>
      <w:r>
        <w:rPr>
          <w:i/>
          <w:iCs/>
          <w:lang w:eastAsia="zh-CN"/>
        </w:rPr>
        <w:t xml:space="preserve"> For Case-1 new reporting, configuring interference measurement filtering is a better candidate to achieve performance gain on percentage of satisfied UEs, no additional report quantity is needed.</w:t>
      </w:r>
    </w:p>
    <w:p>
      <w:pPr>
        <w:rPr>
          <w:i/>
          <w:iCs/>
          <w:lang w:eastAsia="zh-CN"/>
        </w:rPr>
      </w:pPr>
      <w:r>
        <w:rPr>
          <w:b/>
          <w:bCs/>
          <w:i/>
          <w:iCs/>
          <w:lang w:eastAsia="zh-CN"/>
        </w:rPr>
        <w:t>Observation 3:</w:t>
      </w:r>
      <w:r>
        <w:rPr>
          <w:i/>
          <w:iCs/>
          <w:lang w:eastAsia="zh-CN"/>
        </w:rPr>
        <w:t xml:space="preserve"> Scheme 2a-1 of Case-2 new reporting can obtain obvious reliability gain compared with Rel-16 CSI report.</w:t>
      </w:r>
    </w:p>
    <w:p>
      <w:pPr>
        <w:rPr>
          <w:rFonts w:hint="default"/>
          <w:i/>
          <w:iCs/>
          <w:lang w:val="en-US" w:eastAsia="zh-CN"/>
        </w:rPr>
      </w:pPr>
      <w:r>
        <w:rPr>
          <w:rFonts w:hint="eastAsia"/>
          <w:b/>
          <w:bCs/>
          <w:i/>
          <w:iCs/>
          <w:lang w:val="en-US" w:eastAsia="zh-CN"/>
        </w:rPr>
        <w:t>Observation 4:</w:t>
      </w:r>
      <w:r>
        <w:rPr>
          <w:rFonts w:hint="eastAsia"/>
          <w:i/>
          <w:iCs/>
          <w:lang w:val="en-US" w:eastAsia="zh-CN"/>
        </w:rPr>
        <w:t xml:space="preserve"> Statistical CSI and interference standard deviation report are relative complex methods, which need more standardization efforts and a long time for discussion.</w:t>
      </w:r>
    </w:p>
    <w:p>
      <w:pPr>
        <w:rPr>
          <w:rFonts w:hint="default"/>
          <w:i/>
          <w:iCs/>
          <w:lang w:val="en-US" w:eastAsia="zh-CN"/>
        </w:rPr>
      </w:pPr>
      <w:r>
        <w:rPr>
          <w:rFonts w:hint="eastAsia"/>
          <w:b/>
          <w:bCs/>
          <w:i/>
          <w:iCs/>
          <w:lang w:val="en-US" w:eastAsia="zh-CN"/>
        </w:rPr>
        <w:t>Observation 5:</w:t>
      </w:r>
      <w:r>
        <w:rPr>
          <w:rFonts w:hint="eastAsia"/>
          <w:i/>
          <w:iCs/>
          <w:lang w:val="en-US" w:eastAsia="zh-CN"/>
        </w:rPr>
        <w:t xml:space="preserve"> The benefit of the worst-M sub-band CQI is the overhead reduction since CSI report for sub-band has already been supported.</w:t>
      </w:r>
    </w:p>
    <w:p>
      <w:pPr>
        <w:rPr>
          <w:rFonts w:hint="default"/>
          <w:i/>
          <w:iCs/>
          <w:lang w:val="en-US" w:eastAsia="zh-CN"/>
        </w:rPr>
      </w:pPr>
      <w:r>
        <w:rPr>
          <w:rFonts w:hint="eastAsia"/>
          <w:b/>
          <w:bCs/>
          <w:i/>
          <w:iCs/>
          <w:lang w:val="en-US" w:eastAsia="zh-CN"/>
        </w:rPr>
        <w:t>Observation 6:</w:t>
      </w:r>
      <w:r>
        <w:rPr>
          <w:rFonts w:hint="eastAsia"/>
          <w:i/>
          <w:iCs/>
          <w:lang w:val="en-US" w:eastAsia="zh-CN"/>
        </w:rPr>
        <w:t xml:space="preserve"> The benefit on the MCS selection is derived from the reduced processing time for CQI-only report.</w:t>
      </w:r>
    </w:p>
    <w:p>
      <w:pPr>
        <w:rPr>
          <w:rFonts w:hint="default"/>
          <w:i/>
          <w:iCs/>
          <w:lang w:val="en-US" w:eastAsia="zh-CN"/>
        </w:rPr>
      </w:pPr>
      <w:r>
        <w:rPr>
          <w:rFonts w:hint="eastAsia"/>
          <w:b/>
          <w:bCs/>
          <w:i/>
          <w:iCs/>
          <w:lang w:val="en-US" w:eastAsia="zh-CN"/>
        </w:rPr>
        <w:t>Observation 7:</w:t>
      </w:r>
      <w:r>
        <w:rPr>
          <w:rFonts w:hint="eastAsia"/>
          <w:i/>
          <w:iCs/>
          <w:lang w:val="en-US" w:eastAsia="zh-CN"/>
        </w:rPr>
        <w:t xml:space="preserve"> There are many issues to be discussed for the CQI only report, i.e., how many symbols can be reduced for CSI processing time and the corresponding performance gain.</w:t>
      </w:r>
    </w:p>
    <w:p>
      <w:pPr>
        <w:rPr>
          <w:i/>
          <w:iCs/>
          <w:lang w:eastAsia="zh-CN"/>
        </w:rPr>
      </w:pPr>
      <w:r>
        <w:rPr>
          <w:b/>
          <w:bCs/>
          <w:i/>
          <w:iCs/>
          <w:lang w:eastAsia="zh-CN"/>
        </w:rPr>
        <w:t xml:space="preserve">Observation </w:t>
      </w:r>
      <w:r>
        <w:rPr>
          <w:rFonts w:hint="eastAsia"/>
          <w:b/>
          <w:bCs/>
          <w:i/>
          <w:iCs/>
          <w:lang w:val="en-US" w:eastAsia="zh-CN"/>
        </w:rPr>
        <w:t>8</w:t>
      </w:r>
      <w:r>
        <w:rPr>
          <w:b/>
          <w:bCs/>
          <w:i/>
          <w:iCs/>
          <w:lang w:eastAsia="zh-CN"/>
        </w:rPr>
        <w:t>:</w:t>
      </w:r>
      <w:r>
        <w:rPr>
          <w:i/>
          <w:iCs/>
          <w:lang w:eastAsia="zh-CN"/>
        </w:rPr>
        <w:t xml:space="preserve"> CSI report based on the worst interference can reflect the interference jitter very well so that the network scheduling </w:t>
      </w:r>
      <w:r>
        <w:rPr>
          <w:rFonts w:hint="eastAsia"/>
          <w:i/>
          <w:iCs/>
          <w:lang w:eastAsia="zh-CN"/>
        </w:rPr>
        <w:t>has a greater tolerance for</w:t>
      </w:r>
      <w:r>
        <w:rPr>
          <w:i/>
          <w:iCs/>
          <w:lang w:eastAsia="zh-CN"/>
        </w:rPr>
        <w:t xml:space="preserve"> the interference jitter to ensure the requirements of URLLC</w:t>
      </w:r>
      <w:r>
        <w:rPr>
          <w:rFonts w:hint="eastAsia"/>
          <w:i/>
          <w:iCs/>
          <w:lang w:eastAsia="zh-CN"/>
        </w:rPr>
        <w:t>, which has been justified by the provided simulation results.</w:t>
      </w:r>
    </w:p>
    <w:p>
      <w:pPr>
        <w:rPr>
          <w:i/>
          <w:iCs/>
          <w:lang w:eastAsia="zh-CN"/>
        </w:rPr>
      </w:pPr>
      <w:r>
        <w:rPr>
          <w:b/>
          <w:bCs/>
          <w:i/>
          <w:iCs/>
          <w:lang w:eastAsia="zh-CN"/>
        </w:rPr>
        <w:t xml:space="preserve">Observation </w:t>
      </w:r>
      <w:r>
        <w:rPr>
          <w:rFonts w:hint="eastAsia"/>
          <w:b/>
          <w:bCs/>
          <w:i/>
          <w:iCs/>
          <w:lang w:val="en-US" w:eastAsia="zh-CN"/>
        </w:rPr>
        <w:t>9</w:t>
      </w:r>
      <w:r>
        <w:rPr>
          <w:b/>
          <w:bCs/>
          <w:i/>
          <w:iCs/>
          <w:lang w:eastAsia="zh-CN"/>
        </w:rPr>
        <w:t>:</w:t>
      </w:r>
      <w:r>
        <w:rPr>
          <w:i/>
          <w:iCs/>
          <w:lang w:eastAsia="zh-CN"/>
        </w:rPr>
        <w:t xml:space="preserve"> Current conservative scheduling by the network may lead to </w:t>
      </w:r>
      <w:r>
        <w:rPr>
          <w:rFonts w:hint="eastAsia"/>
          <w:i/>
          <w:iCs/>
          <w:lang w:val="en-US" w:eastAsia="zh-CN"/>
        </w:rPr>
        <w:t xml:space="preserve">too </w:t>
      </w:r>
      <w:r>
        <w:rPr>
          <w:i/>
          <w:iCs/>
          <w:lang w:eastAsia="zh-CN"/>
        </w:rPr>
        <w:t>low MCS.</w:t>
      </w:r>
    </w:p>
    <w:p>
      <w:pPr>
        <w:rPr>
          <w:i/>
          <w:iCs/>
          <w:lang w:eastAsia="zh-CN"/>
        </w:rPr>
      </w:pPr>
      <w:r>
        <w:rPr>
          <w:b/>
          <w:bCs/>
          <w:i/>
          <w:iCs/>
          <w:lang w:eastAsia="zh-CN"/>
        </w:rPr>
        <w:t xml:space="preserve">Proposal </w:t>
      </w:r>
      <w:r>
        <w:rPr>
          <w:rFonts w:hint="eastAsia"/>
          <w:b/>
          <w:bCs/>
          <w:i/>
          <w:iCs/>
          <w:lang w:eastAsia="zh-CN"/>
        </w:rPr>
        <w:t>1</w:t>
      </w:r>
      <w:r>
        <w:rPr>
          <w:b/>
          <w:bCs/>
          <w:i/>
          <w:iCs/>
          <w:lang w:eastAsia="zh-CN"/>
        </w:rPr>
        <w:t>:</w:t>
      </w:r>
      <w:r>
        <w:rPr>
          <w:i/>
          <w:iCs/>
          <w:lang w:eastAsia="zh-CN"/>
        </w:rPr>
        <w:t xml:space="preserve"> Enhancement on interference filtering configuration should be supported</w:t>
      </w:r>
      <w:r>
        <w:rPr>
          <w:rFonts w:hint="eastAsia"/>
          <w:i/>
          <w:iCs/>
          <w:lang w:eastAsia="zh-CN"/>
        </w:rPr>
        <w:t>, e.g.</w:t>
      </w:r>
      <w:r>
        <w:rPr>
          <w:i/>
          <w:iCs/>
          <w:lang w:eastAsia="zh-CN"/>
        </w:rPr>
        <w:t xml:space="preserve"> CSI report based on the worst interference.</w:t>
      </w:r>
    </w:p>
    <w:p>
      <w:pPr>
        <w:rPr>
          <w:i/>
          <w:iCs/>
          <w:lang w:eastAsia="zh-CN"/>
        </w:rPr>
      </w:pPr>
      <w:r>
        <w:rPr>
          <w:b/>
          <w:bCs/>
          <w:i/>
          <w:iCs/>
          <w:lang w:eastAsia="zh-CN"/>
        </w:rPr>
        <w:t xml:space="preserve">Proposal </w:t>
      </w:r>
      <w:r>
        <w:rPr>
          <w:rFonts w:hint="eastAsia"/>
          <w:b/>
          <w:bCs/>
          <w:i/>
          <w:iCs/>
          <w:lang w:eastAsia="zh-CN"/>
        </w:rPr>
        <w:t>2</w:t>
      </w:r>
      <w:r>
        <w:rPr>
          <w:b/>
          <w:bCs/>
          <w:i/>
          <w:iCs/>
          <w:lang w:eastAsia="zh-CN"/>
        </w:rPr>
        <w:t>:</w:t>
      </w:r>
      <w:r>
        <w:rPr>
          <w:i/>
          <w:iCs/>
          <w:lang w:eastAsia="zh-CN"/>
        </w:rPr>
        <w:t xml:space="preserve"> Support new report of Case-2 in Rel-17, such as multi-level NACK feedback obtained through PDSCH decoding.</w:t>
      </w:r>
    </w:p>
    <w:p>
      <w:pPr>
        <w:rPr>
          <w:i/>
          <w:iCs/>
          <w:lang w:eastAsia="zh-CN"/>
        </w:rPr>
      </w:pPr>
      <w:r>
        <w:rPr>
          <w:b/>
          <w:bCs/>
          <w:i/>
          <w:iCs/>
          <w:lang w:eastAsia="zh-CN"/>
        </w:rPr>
        <w:t xml:space="preserve">Proposal </w:t>
      </w:r>
      <w:r>
        <w:rPr>
          <w:rFonts w:hint="eastAsia"/>
          <w:b/>
          <w:bCs/>
          <w:i/>
          <w:iCs/>
          <w:lang w:eastAsia="zh-CN"/>
        </w:rPr>
        <w:t>3</w:t>
      </w:r>
      <w:r>
        <w:rPr>
          <w:b/>
          <w:bCs/>
          <w:i/>
          <w:iCs/>
          <w:lang w:eastAsia="zh-CN"/>
        </w:rPr>
        <w:t>:</w:t>
      </w:r>
      <w:r>
        <w:rPr>
          <w:i/>
          <w:iCs/>
          <w:lang w:eastAsia="zh-CN"/>
        </w:rPr>
        <w:t xml:space="preserve"> Support A-CSI on PUCCH in Rel-17.</w:t>
      </w:r>
    </w:p>
    <w:p>
      <w:pPr>
        <w:rPr>
          <w:i/>
          <w:iCs/>
          <w:lang w:eastAsia="zh-CN"/>
        </w:rPr>
      </w:pPr>
      <w:r>
        <w:rPr>
          <w:b/>
          <w:bCs/>
          <w:i/>
          <w:iCs/>
          <w:lang w:eastAsia="zh-CN"/>
        </w:rPr>
        <w:t xml:space="preserve">Proposal </w:t>
      </w:r>
      <w:r>
        <w:rPr>
          <w:rFonts w:hint="eastAsia"/>
          <w:b/>
          <w:bCs/>
          <w:i/>
          <w:iCs/>
          <w:lang w:eastAsia="zh-CN"/>
        </w:rPr>
        <w:t>4</w:t>
      </w:r>
      <w:r>
        <w:rPr>
          <w:b/>
          <w:bCs/>
          <w:i/>
          <w:iCs/>
          <w:lang w:eastAsia="zh-CN"/>
        </w:rPr>
        <w:t>:</w:t>
      </w:r>
      <w:r>
        <w:rPr>
          <w:i/>
          <w:iCs/>
          <w:lang w:eastAsia="zh-CN"/>
        </w:rPr>
        <w:t xml:space="preserve"> Support both DL grant based A-CSI triggering and NACK based A-CSI triggering in Rel-17.</w:t>
      </w:r>
    </w:p>
    <w:p>
      <w:pPr>
        <w:rPr>
          <w:i/>
          <w:iCs/>
          <w:lang w:eastAsia="zh-CN"/>
        </w:rPr>
      </w:pPr>
      <w:r>
        <w:rPr>
          <w:b/>
          <w:bCs/>
          <w:i/>
          <w:iCs/>
          <w:lang w:eastAsia="zh-CN"/>
        </w:rPr>
        <w:t>Proposal 5:</w:t>
      </w:r>
      <w:r>
        <w:rPr>
          <w:i/>
          <w:iCs/>
          <w:lang w:eastAsia="zh-CN"/>
        </w:rPr>
        <w:t xml:space="preserve"> It needs to further study whether the A-CSI should be transmitted in the same PUCCH carrying HARQ-ACK.</w:t>
      </w:r>
    </w:p>
    <w:p>
      <w:pPr>
        <w:rPr>
          <w:i/>
          <w:iCs/>
          <w:lang w:eastAsia="zh-CN"/>
        </w:rPr>
      </w:pPr>
      <w:r>
        <w:rPr>
          <w:b/>
          <w:bCs/>
          <w:i/>
          <w:iCs/>
          <w:lang w:eastAsia="zh-CN"/>
        </w:rPr>
        <w:t>Proposal 6:</w:t>
      </w:r>
      <w:r>
        <w:rPr>
          <w:i/>
          <w:iCs/>
          <w:lang w:eastAsia="zh-CN"/>
        </w:rPr>
        <w:t xml:space="preserve"> Only priority index 0 is applicable to P/SP-CSI on PUCCH.</w:t>
      </w:r>
    </w:p>
    <w:p>
      <w:pPr>
        <w:rPr>
          <w:lang w:eastAsia="zh-CN"/>
        </w:rPr>
      </w:pPr>
      <w:r>
        <w:rPr>
          <w:b/>
          <w:bCs/>
          <w:i/>
          <w:iCs/>
          <w:lang w:eastAsia="zh-CN"/>
        </w:rPr>
        <w:t>Proposal 7:</w:t>
      </w:r>
      <w:r>
        <w:rPr>
          <w:i/>
          <w:iCs/>
          <w:lang w:eastAsia="zh-CN"/>
        </w:rPr>
        <w:t xml:space="preserve"> The A-CSI on PUCCH priority can be indicated by the PI field in the DL grant.</w:t>
      </w:r>
    </w:p>
    <w:p>
      <w:pPr>
        <w:pStyle w:val="2"/>
        <w:rPr>
          <w:lang w:val="en-US" w:eastAsia="zh-CN"/>
        </w:rPr>
      </w:pPr>
      <w:r>
        <w:rPr>
          <w:lang w:val="en-US" w:eastAsia="zh-CN"/>
        </w:rPr>
        <w:t>Reference</w:t>
      </w:r>
    </w:p>
    <w:p>
      <w:pPr>
        <w:pStyle w:val="126"/>
        <w:rPr>
          <w:lang w:eastAsia="zh-CN"/>
        </w:rPr>
      </w:pPr>
      <w:r>
        <w:rPr>
          <w:rFonts w:hint="eastAsia"/>
          <w:lang w:eastAsia="zh-CN"/>
        </w:rPr>
        <w:t>3GPP RAN1#104</w:t>
      </w:r>
      <w:r>
        <w:rPr>
          <w:rFonts w:hint="eastAsia"/>
          <w:lang w:val="en-US" w:eastAsia="zh-CN"/>
        </w:rPr>
        <w:t>bis</w:t>
      </w:r>
      <w:r>
        <w:rPr>
          <w:rFonts w:hint="eastAsia"/>
          <w:lang w:eastAsia="zh-CN"/>
        </w:rPr>
        <w:t xml:space="preserve">-e, </w:t>
      </w:r>
      <w:r>
        <w:rPr>
          <w:lang w:eastAsia="zh-CN"/>
        </w:rPr>
        <w:t xml:space="preserve">Chairman's Notes </w:t>
      </w:r>
      <w:r>
        <w:rPr>
          <w:rFonts w:hint="eastAsia"/>
          <w:lang w:eastAsia="zh-CN"/>
        </w:rPr>
        <w:t>f</w:t>
      </w:r>
      <w:r>
        <w:rPr>
          <w:lang w:eastAsia="zh-CN"/>
        </w:rPr>
        <w:t>inal.</w:t>
      </w:r>
    </w:p>
    <w:p>
      <w:pPr>
        <w:pStyle w:val="126"/>
        <w:rPr>
          <w:lang w:eastAsia="zh-CN"/>
        </w:rPr>
      </w:pPr>
      <w:r>
        <w:rPr>
          <w:rFonts w:hint="eastAsia"/>
          <w:lang w:eastAsia="zh-CN"/>
        </w:rPr>
        <w:t xml:space="preserve">3GPP RAN1#103-e, </w:t>
      </w:r>
      <w:r>
        <w:rPr>
          <w:lang w:eastAsia="zh-CN"/>
        </w:rPr>
        <w:t xml:space="preserve">R1-2009775, Feature lead summary #4 on CSI feedback enhancements for enhanced URLLC/IIoT </w:t>
      </w:r>
    </w:p>
    <w:p>
      <w:pPr>
        <w:pStyle w:val="126"/>
        <w:rPr>
          <w:lang w:eastAsia="zh-CN"/>
        </w:rPr>
      </w:pPr>
      <w:r>
        <w:rPr>
          <w:lang w:eastAsia="zh-CN"/>
        </w:rPr>
        <w:t>3GPP TS 38.21</w:t>
      </w:r>
      <w:r>
        <w:rPr>
          <w:rFonts w:hint="eastAsia"/>
          <w:lang w:eastAsia="zh-CN"/>
        </w:rPr>
        <w:t>4</w:t>
      </w:r>
      <w:r>
        <w:rPr>
          <w:lang w:eastAsia="zh-CN"/>
        </w:rPr>
        <w:t>-g40, Physical layer procedures for data, Release 16.</w:t>
      </w:r>
    </w:p>
    <w:p>
      <w:pPr>
        <w:pStyle w:val="2"/>
        <w:rPr>
          <w:lang w:val="en-US" w:eastAsia="zh-CN"/>
        </w:rPr>
      </w:pPr>
      <w:r>
        <w:rPr>
          <w:lang w:val="en-US" w:eastAsia="zh-CN"/>
        </w:rPr>
        <w:t>Appendix System Level evaluation assumptions</w:t>
      </w:r>
    </w:p>
    <w:p>
      <w:pPr>
        <w:jc w:val="center"/>
        <w:rPr>
          <w:lang w:eastAsia="zh-CN"/>
        </w:rPr>
      </w:pPr>
      <w:r>
        <w:rPr>
          <w:lang w:eastAsia="zh-CN"/>
        </w:rPr>
        <w:t>Table 1: System Level evaluation assumptions for R15 AR/VR scenario</w:t>
      </w:r>
    </w:p>
    <w:tbl>
      <w:tblPr>
        <w:tblStyle w:val="50"/>
        <w:tblW w:w="8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3"/>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shd w:val="clear" w:color="auto" w:fill="DBDBDB"/>
            <w:vAlign w:val="center"/>
          </w:tcPr>
          <w:p>
            <w:pPr>
              <w:spacing w:before="156"/>
              <w:jc w:val="center"/>
              <w:rPr>
                <w:rFonts w:hint="default" w:ascii="Times New Roman" w:hAnsi="Times New Roman" w:cs="Times New Roman"/>
                <w:b/>
                <w:bCs/>
                <w:sz w:val="20"/>
                <w:szCs w:val="20"/>
              </w:rPr>
            </w:pPr>
            <w:r>
              <w:rPr>
                <w:rFonts w:hint="default" w:ascii="Times New Roman" w:hAnsi="Times New Roman" w:cs="Times New Roman"/>
                <w:b/>
                <w:bCs/>
                <w:sz w:val="20"/>
                <w:szCs w:val="20"/>
              </w:rPr>
              <w:t>Parameters</w:t>
            </w:r>
          </w:p>
        </w:tc>
        <w:tc>
          <w:tcPr>
            <w:tcW w:w="5208" w:type="dxa"/>
            <w:tcBorders>
              <w:top w:val="single" w:color="auto" w:sz="4" w:space="0"/>
              <w:left w:val="single" w:color="auto" w:sz="4" w:space="0"/>
              <w:bottom w:val="single" w:color="auto" w:sz="4" w:space="0"/>
              <w:right w:val="single" w:color="auto" w:sz="4" w:space="0"/>
            </w:tcBorders>
            <w:shd w:val="clear" w:color="auto" w:fill="DBDBDB"/>
            <w:vAlign w:val="center"/>
          </w:tcPr>
          <w:p>
            <w:pPr>
              <w:spacing w:before="156"/>
              <w:jc w:val="center"/>
              <w:rPr>
                <w:rFonts w:hint="default" w:ascii="Times New Roman" w:hAnsi="Times New Roman" w:cs="Times New Roman"/>
                <w:b/>
                <w:bCs/>
                <w:sz w:val="20"/>
                <w:szCs w:val="20"/>
              </w:rPr>
            </w:pPr>
            <w:r>
              <w:rPr>
                <w:rFonts w:hint="default" w:ascii="Times New Roman" w:hAnsi="Times New Roman" w:cs="Times New Roman"/>
                <w:b/>
                <w:bCs/>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Inter-BS distance</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500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Carrier frequency</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rPr>
              <w:t xml:space="preserve">Simulation </w:t>
            </w:r>
            <w:r>
              <w:rPr>
                <w:rFonts w:hint="default" w:ascii="Times New Roman" w:hAnsi="Times New Roman" w:cs="Times New Roman"/>
                <w:sz w:val="20"/>
                <w:szCs w:val="20"/>
                <w:lang w:eastAsia="ja-JP"/>
              </w:rPr>
              <w:t xml:space="preserve">bandwidth </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rPr>
              <w:t>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rPr>
              <w:t xml:space="preserve">SCS </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eastAsiaTheme="minorEastAsia"/>
                <w:sz w:val="20"/>
                <w:szCs w:val="20"/>
              </w:rPr>
            </w:pPr>
            <w:r>
              <w:rPr>
                <w:rFonts w:hint="default" w:ascii="Times New Roman" w:hAnsi="Times New Roman" w:cs="Times New Roman"/>
                <w:sz w:val="20"/>
                <w:szCs w:val="20"/>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BS antenna element gain + connector loss</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lang w:eastAsia="zh-CN"/>
              </w:rPr>
              <w:t>8</w:t>
            </w:r>
            <w:r>
              <w:rPr>
                <w:rFonts w:hint="default" w:ascii="Times New Roman" w:hAnsi="Times New Roman" w:cs="Times New Roman"/>
                <w:sz w:val="20"/>
                <w:szCs w:val="20"/>
                <w:lang w:eastAsia="ja-JP"/>
              </w:rPr>
              <w:t xml:space="preserve">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BS antenna configurations</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 Tx antenna ports</w:t>
            </w:r>
          </w:p>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rPr>
              <w:t>(M, N, P, Mg, Ng; Mp, Np) = (</w:t>
            </w:r>
            <w:r>
              <w:rPr>
                <w:rFonts w:hint="default" w:ascii="Times New Roman" w:hAnsi="Times New Roman" w:cs="Times New Roman"/>
                <w:sz w:val="20"/>
                <w:szCs w:val="20"/>
                <w:lang w:eastAsia="zh-CN"/>
              </w:rPr>
              <w:t>8, 4, 2, 1, 1; 1, 2</w:t>
            </w: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rPr>
              <w:t>UE</w:t>
            </w:r>
            <w:r>
              <w:rPr>
                <w:rFonts w:hint="default" w:ascii="Times New Roman" w:hAnsi="Times New Roman" w:cs="Times New Roman"/>
                <w:sz w:val="20"/>
                <w:szCs w:val="20"/>
                <w:lang w:eastAsia="ja-JP"/>
              </w:rPr>
              <w:t xml:space="preserve"> antenna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pStyle w:val="65"/>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4 Rx antenna ports </w:t>
            </w:r>
          </w:p>
          <w:p>
            <w:pPr>
              <w:pStyle w:val="65"/>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Panel model 1: Mg=1, Ng=1, P=2, </w:t>
            </w:r>
            <w:r>
              <w:rPr>
                <w:rFonts w:hint="default" w:ascii="Times New Roman" w:hAnsi="Times New Roman" w:cs="Times New Roman"/>
                <w:color w:val="000000"/>
                <w:sz w:val="20"/>
                <w:szCs w:val="20"/>
              </w:rPr>
              <w:t>d</w:t>
            </w:r>
            <w:r>
              <w:rPr>
                <w:rFonts w:hint="default" w:ascii="Times New Roman" w:hAnsi="Times New Roman" w:cs="Times New Roman"/>
                <w:color w:val="000000"/>
                <w:sz w:val="20"/>
                <w:szCs w:val="20"/>
                <w:vertAlign w:val="subscript"/>
              </w:rPr>
              <w:t>H</w:t>
            </w:r>
            <w:r>
              <w:rPr>
                <w:rFonts w:hint="default" w:ascii="Times New Roman" w:hAnsi="Times New Roman" w:cs="Times New Roman"/>
                <w:sz w:val="20"/>
                <w:szCs w:val="20"/>
                <w:lang w:eastAsia="zh-CN"/>
              </w:rPr>
              <w:t>=0.5</w:t>
            </w:r>
          </w:p>
          <w:p>
            <w:pPr>
              <w:pStyle w:val="65"/>
              <w:rPr>
                <w:rFonts w:hint="default" w:ascii="Times New Roman" w:hAnsi="Times New Roman" w:cs="Times New Roman"/>
                <w:sz w:val="20"/>
                <w:szCs w:val="20"/>
              </w:rPr>
            </w:pPr>
            <w:r>
              <w:rPr>
                <w:rFonts w:hint="default" w:ascii="Times New Roman" w:hAnsi="Times New Roman" w:cs="Times New Roman"/>
                <w:sz w:val="20"/>
                <w:szCs w:val="20"/>
              </w:rPr>
              <w:t>(M, N, P, Mg, Ng; Mp, Np) = (</w:t>
            </w:r>
            <w:r>
              <w:rPr>
                <w:rFonts w:hint="default" w:ascii="Times New Roman" w:hAnsi="Times New Roman" w:cs="Times New Roman"/>
                <w:sz w:val="20"/>
                <w:szCs w:val="20"/>
                <w:lang w:eastAsia="zh-CN"/>
              </w:rPr>
              <w:t>1, 2, 2, 1, 1; 1, 2</w:t>
            </w:r>
            <w:r>
              <w:rPr>
                <w:rFonts w:hint="default" w:ascii="Times New Roman" w:hAnsi="Times New Roman" w:cs="Times New Roman"/>
                <w:sz w:val="20"/>
                <w:szCs w:val="20"/>
              </w:rPr>
              <w:t>) for 4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BS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eastAsiaTheme="minorEastAsia"/>
                <w:sz w:val="20"/>
                <w:szCs w:val="20"/>
              </w:rPr>
            </w:pPr>
            <w:r>
              <w:rPr>
                <w:rFonts w:hint="default" w:ascii="Times New Roman" w:hAnsi="Times New Roman" w:cs="Times New Roman"/>
                <w:sz w:val="20"/>
                <w:szCs w:val="20"/>
                <w:lang w:eastAsia="zh-CN"/>
              </w:rPr>
              <w:t>25</w:t>
            </w:r>
            <w:r>
              <w:rPr>
                <w:rFonts w:hint="default" w:ascii="Times New Roman" w:hAnsi="Times New Roman" w:cs="Times New Roman"/>
                <w:sz w:val="20"/>
                <w:szCs w:val="20"/>
              </w:rPr>
              <w:t xml:space="preserve">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UE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eastAsiaTheme="minorEastAsia"/>
                <w:sz w:val="20"/>
                <w:szCs w:val="20"/>
              </w:rPr>
            </w:pPr>
            <w:r>
              <w:rPr>
                <w:rFonts w:hint="default" w:ascii="Times New Roman" w:hAnsi="Times New Roman" w:cs="Times New Roman"/>
                <w:sz w:val="20"/>
                <w:szCs w:val="20"/>
              </w:rPr>
              <w:t>1.5</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UE antenna gain</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rPr>
            </w:pPr>
            <w:r>
              <w:rPr>
                <w:rFonts w:hint="default" w:ascii="Times New Roman" w:hAnsi="Times New Roman" w:cs="Times New Roman"/>
                <w:sz w:val="20"/>
                <w:szCs w:val="20"/>
              </w:rPr>
              <w:t>0dBi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eastAsiaTheme="minorEastAsia"/>
                <w:sz w:val="20"/>
                <w:szCs w:val="20"/>
              </w:rPr>
              <w:t>BS</w:t>
            </w:r>
            <w:r>
              <w:rPr>
                <w:rFonts w:hint="default" w:ascii="Times New Roman" w:hAnsi="Times New Roman" w:cs="Times New Roman"/>
                <w:sz w:val="20"/>
                <w:szCs w:val="20"/>
                <w:lang w:eastAsia="ja-JP"/>
              </w:rPr>
              <w:t xml:space="preserve"> Tx power</w:t>
            </w:r>
          </w:p>
        </w:tc>
        <w:tc>
          <w:tcPr>
            <w:tcW w:w="5208" w:type="dxa"/>
            <w:tcBorders>
              <w:top w:val="single" w:color="auto" w:sz="4" w:space="0"/>
              <w:left w:val="single" w:color="auto" w:sz="4" w:space="0"/>
              <w:bottom w:val="single" w:color="auto" w:sz="4" w:space="0"/>
              <w:right w:val="single" w:color="auto" w:sz="4" w:space="0"/>
            </w:tcBorders>
          </w:tcPr>
          <w:p>
            <w:pPr>
              <w:spacing w:before="156" w:after="20" w:line="276" w:lineRule="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 xml:space="preserve">49 dBm </w:t>
            </w:r>
            <w:r>
              <w:rPr>
                <w:rFonts w:hint="default" w:ascii="Times New Roman" w:hAnsi="Times New Roman" w:cs="Times New Roman"/>
                <w:bCs/>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rPr>
              <w:t>UE receiver noise figure</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Layout</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Single layer - Macro layer: Hex. Grid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rPr>
              <w:t>Number of UEs per cell</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Channel model</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UMa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UE distribution</w:t>
            </w:r>
          </w:p>
        </w:tc>
        <w:tc>
          <w:tcPr>
            <w:tcW w:w="520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100% of users are outdoors </w:t>
            </w:r>
          </w:p>
          <w:p>
            <w:pPr>
              <w:spacing w:before="156"/>
              <w:rPr>
                <w:rFonts w:hint="default" w:ascii="Times New Roman" w:hAnsi="Times New Roman" w:cs="Times New Roman" w:eastAsiaTheme="minorEastAsia"/>
                <w:sz w:val="20"/>
                <w:szCs w:val="20"/>
              </w:rPr>
            </w:pPr>
            <w:r>
              <w:rPr>
                <w:rFonts w:hint="default" w:ascii="Times New Roman" w:hAnsi="Times New Roman" w:cs="Times New Roman"/>
                <w:sz w:val="20"/>
                <w:szCs w:val="20"/>
                <w:lang w:eastAsia="zh-CN"/>
              </w:rPr>
              <w:t xml:space="preserve">Use 3 km/h for modeling fading channel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Channel estimation</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rPr>
            </w:pPr>
            <w:r>
              <w:rPr>
                <w:rFonts w:hint="default" w:ascii="Times New Roman" w:hAnsi="Times New Roman" w:cs="Times New Roman"/>
                <w:sz w:val="20"/>
                <w:szCs w:val="20"/>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color w:val="000000"/>
                <w:sz w:val="20"/>
                <w:szCs w:val="20"/>
              </w:rPr>
              <w:t>Periodicity of P-CSI reporting</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Delay of P-CSI reporting</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Physical layer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 OS mini-slot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Traffic mode</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FTP model 3 (100p/s)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Reliability</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Latency</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4ms(200bytes)</w:t>
            </w:r>
          </w:p>
        </w:tc>
      </w:tr>
    </w:tbl>
    <w:p>
      <w:p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9</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9</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3D2392"/>
    <w:multiLevelType w:val="singleLevel"/>
    <w:tmpl w:val="DA3D2392"/>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1A4DD707"/>
    <w:multiLevelType w:val="singleLevel"/>
    <w:tmpl w:val="1A4DD707"/>
    <w:lvl w:ilvl="0" w:tentative="0">
      <w:start w:val="1"/>
      <w:numFmt w:val="bullet"/>
      <w:lvlText w:val=""/>
      <w:lvlJc w:val="left"/>
      <w:pPr>
        <w:ind w:left="420" w:hanging="42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44265825"/>
    <w:multiLevelType w:val="singleLevel"/>
    <w:tmpl w:val="44265825"/>
    <w:lvl w:ilvl="0" w:tentative="0">
      <w:start w:val="1"/>
      <w:numFmt w:val="bullet"/>
      <w:lvlText w:val=""/>
      <w:lvlJc w:val="left"/>
      <w:pPr>
        <w:ind w:left="420" w:hanging="420"/>
      </w:pPr>
      <w:rPr>
        <w:rFonts w:hint="default" w:ascii="Wingdings" w:hAnsi="Wingdings"/>
      </w:rPr>
    </w:lvl>
  </w:abstractNum>
  <w:abstractNum w:abstractNumId="7">
    <w:nsid w:val="513F2DCD"/>
    <w:multiLevelType w:val="multilevel"/>
    <w:tmpl w:val="513F2DC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7FB4B9D"/>
    <w:multiLevelType w:val="multilevel"/>
    <w:tmpl w:val="67FB4B9D"/>
    <w:lvl w:ilvl="0" w:tentative="0">
      <w:start w:val="1"/>
      <w:numFmt w:val="bullet"/>
      <w:lvlText w:val="-"/>
      <w:lvlJc w:val="left"/>
      <w:pPr>
        <w:ind w:left="720" w:hanging="360"/>
      </w:pPr>
      <w:rPr>
        <w:rFonts w:hint="default" w:ascii="Times New Roman" w:hAnsi="Times New Roman"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9"/>
  </w:num>
  <w:num w:numId="4">
    <w:abstractNumId w:val="5"/>
  </w:num>
  <w:num w:numId="5">
    <w:abstractNumId w:val="13"/>
  </w:num>
  <w:num w:numId="6">
    <w:abstractNumId w:val="8"/>
  </w:num>
  <w:num w:numId="7">
    <w:abstractNumId w:val="4"/>
  </w:num>
  <w:num w:numId="8">
    <w:abstractNumId w:val="12"/>
  </w:num>
  <w:num w:numId="9">
    <w:abstractNumId w:val="11"/>
  </w:num>
  <w:num w:numId="10">
    <w:abstractNumId w:val="7"/>
  </w:num>
  <w:num w:numId="11">
    <w:abstractNumId w:val="10"/>
  </w:num>
  <w:num w:numId="12">
    <w:abstractNumId w:val="6"/>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1"/>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22"/>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582"/>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C34"/>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22550"/>
    <w:rsid w:val="01141897"/>
    <w:rsid w:val="01260BA4"/>
    <w:rsid w:val="016B06CD"/>
    <w:rsid w:val="01A2575D"/>
    <w:rsid w:val="01F7104B"/>
    <w:rsid w:val="01FC2529"/>
    <w:rsid w:val="026835F1"/>
    <w:rsid w:val="0284643E"/>
    <w:rsid w:val="02CC2DF9"/>
    <w:rsid w:val="03271175"/>
    <w:rsid w:val="03532C3F"/>
    <w:rsid w:val="038C00DB"/>
    <w:rsid w:val="039046B7"/>
    <w:rsid w:val="03B25C4C"/>
    <w:rsid w:val="03C31233"/>
    <w:rsid w:val="03E442A7"/>
    <w:rsid w:val="03F94E83"/>
    <w:rsid w:val="03FC4856"/>
    <w:rsid w:val="04A472ED"/>
    <w:rsid w:val="04E46C50"/>
    <w:rsid w:val="04E51BB8"/>
    <w:rsid w:val="04FC54BE"/>
    <w:rsid w:val="05772202"/>
    <w:rsid w:val="05FA45C5"/>
    <w:rsid w:val="066953FF"/>
    <w:rsid w:val="067D4C1C"/>
    <w:rsid w:val="06B127E5"/>
    <w:rsid w:val="06F146D9"/>
    <w:rsid w:val="07165FAB"/>
    <w:rsid w:val="072F2729"/>
    <w:rsid w:val="07406162"/>
    <w:rsid w:val="07901951"/>
    <w:rsid w:val="07A664D7"/>
    <w:rsid w:val="07C21FA9"/>
    <w:rsid w:val="07C60573"/>
    <w:rsid w:val="07F36B9B"/>
    <w:rsid w:val="08F7541D"/>
    <w:rsid w:val="09531BE1"/>
    <w:rsid w:val="0957797D"/>
    <w:rsid w:val="0972706B"/>
    <w:rsid w:val="09C21BB6"/>
    <w:rsid w:val="09EC1FC7"/>
    <w:rsid w:val="0A2A77A5"/>
    <w:rsid w:val="0A7969DF"/>
    <w:rsid w:val="0A867EAB"/>
    <w:rsid w:val="0ACB6154"/>
    <w:rsid w:val="0AFC60B7"/>
    <w:rsid w:val="0B184842"/>
    <w:rsid w:val="0B6F0A8E"/>
    <w:rsid w:val="0BAD7041"/>
    <w:rsid w:val="0BFD1C57"/>
    <w:rsid w:val="0C0E1269"/>
    <w:rsid w:val="0C6F5654"/>
    <w:rsid w:val="0C984199"/>
    <w:rsid w:val="0D132BA9"/>
    <w:rsid w:val="0D2148AC"/>
    <w:rsid w:val="0D423CF3"/>
    <w:rsid w:val="0D5B0F38"/>
    <w:rsid w:val="0D660AC2"/>
    <w:rsid w:val="0D672BF6"/>
    <w:rsid w:val="0D704096"/>
    <w:rsid w:val="0E120AD5"/>
    <w:rsid w:val="0E9D6013"/>
    <w:rsid w:val="0EB06FFE"/>
    <w:rsid w:val="0EC57FE4"/>
    <w:rsid w:val="0F6B449B"/>
    <w:rsid w:val="0F9C00AF"/>
    <w:rsid w:val="0FEE0729"/>
    <w:rsid w:val="10150A41"/>
    <w:rsid w:val="102F7219"/>
    <w:rsid w:val="103C4085"/>
    <w:rsid w:val="11001DB4"/>
    <w:rsid w:val="112A13C6"/>
    <w:rsid w:val="11DC793A"/>
    <w:rsid w:val="12300753"/>
    <w:rsid w:val="1241192F"/>
    <w:rsid w:val="1257267A"/>
    <w:rsid w:val="12602B9D"/>
    <w:rsid w:val="12A472D8"/>
    <w:rsid w:val="12F015F0"/>
    <w:rsid w:val="12FE321B"/>
    <w:rsid w:val="130859B8"/>
    <w:rsid w:val="13D91C28"/>
    <w:rsid w:val="13FA1CF4"/>
    <w:rsid w:val="141F2191"/>
    <w:rsid w:val="142A7523"/>
    <w:rsid w:val="14B74393"/>
    <w:rsid w:val="14DD01BC"/>
    <w:rsid w:val="15493DAC"/>
    <w:rsid w:val="156C5397"/>
    <w:rsid w:val="1575AEB2"/>
    <w:rsid w:val="15836BA2"/>
    <w:rsid w:val="15905C49"/>
    <w:rsid w:val="164F7F6D"/>
    <w:rsid w:val="165E068A"/>
    <w:rsid w:val="16C872D4"/>
    <w:rsid w:val="16FB6882"/>
    <w:rsid w:val="1702D3F2"/>
    <w:rsid w:val="17A36C4C"/>
    <w:rsid w:val="17A625DA"/>
    <w:rsid w:val="17AC46DD"/>
    <w:rsid w:val="188D2058"/>
    <w:rsid w:val="18BA7603"/>
    <w:rsid w:val="18FD3F86"/>
    <w:rsid w:val="192B740B"/>
    <w:rsid w:val="19497C62"/>
    <w:rsid w:val="198A694D"/>
    <w:rsid w:val="19F73CC7"/>
    <w:rsid w:val="19FA7F54"/>
    <w:rsid w:val="1A347816"/>
    <w:rsid w:val="1A514204"/>
    <w:rsid w:val="1A884F76"/>
    <w:rsid w:val="1AA83F31"/>
    <w:rsid w:val="1AFB1F5A"/>
    <w:rsid w:val="1B2E6DC7"/>
    <w:rsid w:val="1B30699D"/>
    <w:rsid w:val="1B5316CE"/>
    <w:rsid w:val="1B5E59D2"/>
    <w:rsid w:val="1B9328C0"/>
    <w:rsid w:val="1C766428"/>
    <w:rsid w:val="1C874259"/>
    <w:rsid w:val="1D38234F"/>
    <w:rsid w:val="1D4B6511"/>
    <w:rsid w:val="1D7806A7"/>
    <w:rsid w:val="1DAB29A2"/>
    <w:rsid w:val="1DD50930"/>
    <w:rsid w:val="1DDD56BB"/>
    <w:rsid w:val="1DE66DDE"/>
    <w:rsid w:val="1DEE1CB6"/>
    <w:rsid w:val="1DF407BB"/>
    <w:rsid w:val="1E236CEF"/>
    <w:rsid w:val="1E38003B"/>
    <w:rsid w:val="1F850095"/>
    <w:rsid w:val="1FB91CD0"/>
    <w:rsid w:val="1FBD523C"/>
    <w:rsid w:val="1FD85109"/>
    <w:rsid w:val="1FDA5618"/>
    <w:rsid w:val="20750BDD"/>
    <w:rsid w:val="20910CB1"/>
    <w:rsid w:val="20CD42FE"/>
    <w:rsid w:val="20DD44A9"/>
    <w:rsid w:val="20EA6C81"/>
    <w:rsid w:val="21035A99"/>
    <w:rsid w:val="210811E1"/>
    <w:rsid w:val="210D039E"/>
    <w:rsid w:val="21282288"/>
    <w:rsid w:val="21364FE9"/>
    <w:rsid w:val="214B4914"/>
    <w:rsid w:val="21692244"/>
    <w:rsid w:val="218A241C"/>
    <w:rsid w:val="21941A5C"/>
    <w:rsid w:val="21942DDB"/>
    <w:rsid w:val="21FA58F2"/>
    <w:rsid w:val="22C62A0D"/>
    <w:rsid w:val="23247878"/>
    <w:rsid w:val="23680C07"/>
    <w:rsid w:val="239E142D"/>
    <w:rsid w:val="23EA21A8"/>
    <w:rsid w:val="245870DE"/>
    <w:rsid w:val="247247A7"/>
    <w:rsid w:val="2473146A"/>
    <w:rsid w:val="24927781"/>
    <w:rsid w:val="24956530"/>
    <w:rsid w:val="24A768B2"/>
    <w:rsid w:val="258728BF"/>
    <w:rsid w:val="268C60B5"/>
    <w:rsid w:val="26B04FB4"/>
    <w:rsid w:val="27470D0A"/>
    <w:rsid w:val="275B67F9"/>
    <w:rsid w:val="278A3E5D"/>
    <w:rsid w:val="2793390D"/>
    <w:rsid w:val="27C5366D"/>
    <w:rsid w:val="27DD67CA"/>
    <w:rsid w:val="28384A79"/>
    <w:rsid w:val="2839733E"/>
    <w:rsid w:val="28690808"/>
    <w:rsid w:val="28B07E55"/>
    <w:rsid w:val="28B54AA2"/>
    <w:rsid w:val="29441D0D"/>
    <w:rsid w:val="294D6347"/>
    <w:rsid w:val="29C2594E"/>
    <w:rsid w:val="2A0F0B23"/>
    <w:rsid w:val="2A243957"/>
    <w:rsid w:val="2AC65A40"/>
    <w:rsid w:val="2AD7786F"/>
    <w:rsid w:val="2AFE2B7E"/>
    <w:rsid w:val="2B5D7AD6"/>
    <w:rsid w:val="2B8E5174"/>
    <w:rsid w:val="2C731E01"/>
    <w:rsid w:val="2C880E99"/>
    <w:rsid w:val="2CD324C5"/>
    <w:rsid w:val="2CD57B0B"/>
    <w:rsid w:val="2CE470AD"/>
    <w:rsid w:val="2CF0147F"/>
    <w:rsid w:val="2D376513"/>
    <w:rsid w:val="2D3B55CA"/>
    <w:rsid w:val="2DC863F1"/>
    <w:rsid w:val="2E2E5FB6"/>
    <w:rsid w:val="2E4D45F8"/>
    <w:rsid w:val="2EB72406"/>
    <w:rsid w:val="2EE35AD4"/>
    <w:rsid w:val="2F2367DE"/>
    <w:rsid w:val="2F4443E0"/>
    <w:rsid w:val="2F797B38"/>
    <w:rsid w:val="2F994058"/>
    <w:rsid w:val="30147C32"/>
    <w:rsid w:val="303E5119"/>
    <w:rsid w:val="307F54AC"/>
    <w:rsid w:val="31542D3B"/>
    <w:rsid w:val="318B5075"/>
    <w:rsid w:val="3245071E"/>
    <w:rsid w:val="32832752"/>
    <w:rsid w:val="32FE23BF"/>
    <w:rsid w:val="33006AEC"/>
    <w:rsid w:val="330E6893"/>
    <w:rsid w:val="331628B8"/>
    <w:rsid w:val="3381468D"/>
    <w:rsid w:val="33DE0CB9"/>
    <w:rsid w:val="344F6A36"/>
    <w:rsid w:val="34E875BF"/>
    <w:rsid w:val="350F1170"/>
    <w:rsid w:val="3511129D"/>
    <w:rsid w:val="354B66B7"/>
    <w:rsid w:val="357D45BC"/>
    <w:rsid w:val="359455FE"/>
    <w:rsid w:val="36484FC1"/>
    <w:rsid w:val="366679F6"/>
    <w:rsid w:val="36B879C4"/>
    <w:rsid w:val="36CD07B0"/>
    <w:rsid w:val="373C5C66"/>
    <w:rsid w:val="375C57D7"/>
    <w:rsid w:val="37D43FF2"/>
    <w:rsid w:val="37DD651E"/>
    <w:rsid w:val="37F94ACE"/>
    <w:rsid w:val="384842A8"/>
    <w:rsid w:val="385A2B52"/>
    <w:rsid w:val="385A4D4A"/>
    <w:rsid w:val="38A94A77"/>
    <w:rsid w:val="38BA113F"/>
    <w:rsid w:val="38E27DEC"/>
    <w:rsid w:val="39764953"/>
    <w:rsid w:val="39937B6F"/>
    <w:rsid w:val="3A0677A1"/>
    <w:rsid w:val="3A135075"/>
    <w:rsid w:val="3A3968C0"/>
    <w:rsid w:val="3A4172A9"/>
    <w:rsid w:val="3A4C1C4E"/>
    <w:rsid w:val="3A563658"/>
    <w:rsid w:val="3A632979"/>
    <w:rsid w:val="3A8424B5"/>
    <w:rsid w:val="3AB31D0C"/>
    <w:rsid w:val="3AD97E3A"/>
    <w:rsid w:val="3B141B02"/>
    <w:rsid w:val="3B3961CE"/>
    <w:rsid w:val="3B4A3B53"/>
    <w:rsid w:val="3B5651BA"/>
    <w:rsid w:val="3B8B323D"/>
    <w:rsid w:val="3B94063F"/>
    <w:rsid w:val="3BDE4D0D"/>
    <w:rsid w:val="3BF47021"/>
    <w:rsid w:val="3C1C5A4E"/>
    <w:rsid w:val="3C795A31"/>
    <w:rsid w:val="3C923082"/>
    <w:rsid w:val="3CC00512"/>
    <w:rsid w:val="3D0354C7"/>
    <w:rsid w:val="3D2D2A0D"/>
    <w:rsid w:val="3D503759"/>
    <w:rsid w:val="3D56438C"/>
    <w:rsid w:val="3D7642C9"/>
    <w:rsid w:val="3D7F5A28"/>
    <w:rsid w:val="3DAA038F"/>
    <w:rsid w:val="3DDA6D42"/>
    <w:rsid w:val="3DE26C3E"/>
    <w:rsid w:val="3DE85362"/>
    <w:rsid w:val="3E01783E"/>
    <w:rsid w:val="3E3769E2"/>
    <w:rsid w:val="3E7347F4"/>
    <w:rsid w:val="3E8552C0"/>
    <w:rsid w:val="3E85534F"/>
    <w:rsid w:val="3E922DCB"/>
    <w:rsid w:val="3EF83C43"/>
    <w:rsid w:val="3F01664D"/>
    <w:rsid w:val="3F175FC8"/>
    <w:rsid w:val="3F1A4DA4"/>
    <w:rsid w:val="3F4A203A"/>
    <w:rsid w:val="3F622DC7"/>
    <w:rsid w:val="3F747BDB"/>
    <w:rsid w:val="3F926FEA"/>
    <w:rsid w:val="3FD010A5"/>
    <w:rsid w:val="3FDC7494"/>
    <w:rsid w:val="401A7BA3"/>
    <w:rsid w:val="401C2F16"/>
    <w:rsid w:val="404E0931"/>
    <w:rsid w:val="4064326C"/>
    <w:rsid w:val="40850DCD"/>
    <w:rsid w:val="40E33181"/>
    <w:rsid w:val="4120295D"/>
    <w:rsid w:val="413224B2"/>
    <w:rsid w:val="41580881"/>
    <w:rsid w:val="41AC1D9C"/>
    <w:rsid w:val="41E444E5"/>
    <w:rsid w:val="4207424C"/>
    <w:rsid w:val="4242619A"/>
    <w:rsid w:val="42B20782"/>
    <w:rsid w:val="43444545"/>
    <w:rsid w:val="4345438E"/>
    <w:rsid w:val="434D41C7"/>
    <w:rsid w:val="438741B0"/>
    <w:rsid w:val="44917C93"/>
    <w:rsid w:val="44B612FA"/>
    <w:rsid w:val="44F04ED5"/>
    <w:rsid w:val="457D0861"/>
    <w:rsid w:val="459F6357"/>
    <w:rsid w:val="460E7F90"/>
    <w:rsid w:val="464B13A3"/>
    <w:rsid w:val="464D0D0B"/>
    <w:rsid w:val="468E37DA"/>
    <w:rsid w:val="46D41E44"/>
    <w:rsid w:val="46E6761D"/>
    <w:rsid w:val="46F114A1"/>
    <w:rsid w:val="46F74C99"/>
    <w:rsid w:val="47565D99"/>
    <w:rsid w:val="47822D68"/>
    <w:rsid w:val="47AE2F53"/>
    <w:rsid w:val="47D53EDA"/>
    <w:rsid w:val="47FA0721"/>
    <w:rsid w:val="483B1BF1"/>
    <w:rsid w:val="487C2B41"/>
    <w:rsid w:val="48CB52AE"/>
    <w:rsid w:val="48EF4086"/>
    <w:rsid w:val="49446ABC"/>
    <w:rsid w:val="496938E0"/>
    <w:rsid w:val="4986043B"/>
    <w:rsid w:val="49882B35"/>
    <w:rsid w:val="49B87A71"/>
    <w:rsid w:val="4A8F1807"/>
    <w:rsid w:val="4AB22D3D"/>
    <w:rsid w:val="4B3872E6"/>
    <w:rsid w:val="4B425BC8"/>
    <w:rsid w:val="4BA329C5"/>
    <w:rsid w:val="4BD33F29"/>
    <w:rsid w:val="4C37244C"/>
    <w:rsid w:val="4C611769"/>
    <w:rsid w:val="4C822291"/>
    <w:rsid w:val="4C83465B"/>
    <w:rsid w:val="4CA149AE"/>
    <w:rsid w:val="4D280365"/>
    <w:rsid w:val="4D291687"/>
    <w:rsid w:val="4D7A6095"/>
    <w:rsid w:val="4DA05C98"/>
    <w:rsid w:val="4DB4209F"/>
    <w:rsid w:val="4DBF6FE1"/>
    <w:rsid w:val="4DCA18F8"/>
    <w:rsid w:val="4DD0057E"/>
    <w:rsid w:val="4DD71CEE"/>
    <w:rsid w:val="4DF51404"/>
    <w:rsid w:val="4E5633F4"/>
    <w:rsid w:val="4E7740D9"/>
    <w:rsid w:val="4EAC0AFF"/>
    <w:rsid w:val="4EC2021D"/>
    <w:rsid w:val="4EC57BBB"/>
    <w:rsid w:val="4ECF3669"/>
    <w:rsid w:val="4FDB228E"/>
    <w:rsid w:val="50196694"/>
    <w:rsid w:val="50946E51"/>
    <w:rsid w:val="50CD6950"/>
    <w:rsid w:val="50FD13B2"/>
    <w:rsid w:val="511F2E19"/>
    <w:rsid w:val="5125709E"/>
    <w:rsid w:val="513E16AC"/>
    <w:rsid w:val="51C367AC"/>
    <w:rsid w:val="51DA1198"/>
    <w:rsid w:val="52546F3F"/>
    <w:rsid w:val="52932641"/>
    <w:rsid w:val="529E76A6"/>
    <w:rsid w:val="52BB6452"/>
    <w:rsid w:val="52FE30BB"/>
    <w:rsid w:val="52FE6B60"/>
    <w:rsid w:val="5313765A"/>
    <w:rsid w:val="534D67C2"/>
    <w:rsid w:val="535564DE"/>
    <w:rsid w:val="536E79E7"/>
    <w:rsid w:val="53B442DB"/>
    <w:rsid w:val="53C25107"/>
    <w:rsid w:val="53CA6193"/>
    <w:rsid w:val="54197AD0"/>
    <w:rsid w:val="543314F7"/>
    <w:rsid w:val="545200D3"/>
    <w:rsid w:val="54CE2507"/>
    <w:rsid w:val="54F930BC"/>
    <w:rsid w:val="55181CD2"/>
    <w:rsid w:val="55841CFB"/>
    <w:rsid w:val="55CA1D79"/>
    <w:rsid w:val="55D01D97"/>
    <w:rsid w:val="56D00DA3"/>
    <w:rsid w:val="56DC5354"/>
    <w:rsid w:val="57032C03"/>
    <w:rsid w:val="57244B18"/>
    <w:rsid w:val="572B62DF"/>
    <w:rsid w:val="57C3516C"/>
    <w:rsid w:val="57E675AF"/>
    <w:rsid w:val="57EF6871"/>
    <w:rsid w:val="57F4177E"/>
    <w:rsid w:val="58240039"/>
    <w:rsid w:val="58400129"/>
    <w:rsid w:val="58F433FF"/>
    <w:rsid w:val="591813AF"/>
    <w:rsid w:val="595A121E"/>
    <w:rsid w:val="59C65DC2"/>
    <w:rsid w:val="59C75644"/>
    <w:rsid w:val="5A2E1EC4"/>
    <w:rsid w:val="5A814BDD"/>
    <w:rsid w:val="5AA758C9"/>
    <w:rsid w:val="5AF07FF7"/>
    <w:rsid w:val="5AF422E5"/>
    <w:rsid w:val="5B3B7F82"/>
    <w:rsid w:val="5B6858CF"/>
    <w:rsid w:val="5BA105AC"/>
    <w:rsid w:val="5BC940E0"/>
    <w:rsid w:val="5BF26431"/>
    <w:rsid w:val="5BF4211B"/>
    <w:rsid w:val="5BFA172C"/>
    <w:rsid w:val="5C494988"/>
    <w:rsid w:val="5C880332"/>
    <w:rsid w:val="5CD36306"/>
    <w:rsid w:val="5CE549FC"/>
    <w:rsid w:val="5D023328"/>
    <w:rsid w:val="5E510DEF"/>
    <w:rsid w:val="5E780DEA"/>
    <w:rsid w:val="5E9D367C"/>
    <w:rsid w:val="5EDE4AA5"/>
    <w:rsid w:val="5F13506F"/>
    <w:rsid w:val="5F631FA8"/>
    <w:rsid w:val="5F721888"/>
    <w:rsid w:val="5F750B1F"/>
    <w:rsid w:val="5F8A32D2"/>
    <w:rsid w:val="60440F72"/>
    <w:rsid w:val="60867BFB"/>
    <w:rsid w:val="6133512D"/>
    <w:rsid w:val="61AD3F41"/>
    <w:rsid w:val="61E93730"/>
    <w:rsid w:val="632D3B23"/>
    <w:rsid w:val="6386412B"/>
    <w:rsid w:val="63A44F76"/>
    <w:rsid w:val="64165B94"/>
    <w:rsid w:val="6456298D"/>
    <w:rsid w:val="64A0622C"/>
    <w:rsid w:val="64FE5F12"/>
    <w:rsid w:val="654B48AE"/>
    <w:rsid w:val="65507243"/>
    <w:rsid w:val="65576B9C"/>
    <w:rsid w:val="656027FF"/>
    <w:rsid w:val="65B11FF7"/>
    <w:rsid w:val="65F415BF"/>
    <w:rsid w:val="66451091"/>
    <w:rsid w:val="66457E51"/>
    <w:rsid w:val="664A0A82"/>
    <w:rsid w:val="6650714A"/>
    <w:rsid w:val="6680376E"/>
    <w:rsid w:val="66ED31EA"/>
    <w:rsid w:val="6754041A"/>
    <w:rsid w:val="67966956"/>
    <w:rsid w:val="67BF1301"/>
    <w:rsid w:val="67FA3E47"/>
    <w:rsid w:val="68085293"/>
    <w:rsid w:val="6851376E"/>
    <w:rsid w:val="686C31D7"/>
    <w:rsid w:val="68F07009"/>
    <w:rsid w:val="691A3243"/>
    <w:rsid w:val="69631CC1"/>
    <w:rsid w:val="696C42BB"/>
    <w:rsid w:val="698A6B0F"/>
    <w:rsid w:val="69995DE8"/>
    <w:rsid w:val="69D232C1"/>
    <w:rsid w:val="69DA7268"/>
    <w:rsid w:val="6A27755C"/>
    <w:rsid w:val="6A782EAA"/>
    <w:rsid w:val="6ABA7E95"/>
    <w:rsid w:val="6B2C1912"/>
    <w:rsid w:val="6B58578D"/>
    <w:rsid w:val="6B704279"/>
    <w:rsid w:val="6BB753C9"/>
    <w:rsid w:val="6C4E23A0"/>
    <w:rsid w:val="6C5634A0"/>
    <w:rsid w:val="6C911A64"/>
    <w:rsid w:val="6D020EA1"/>
    <w:rsid w:val="6D78666A"/>
    <w:rsid w:val="6DD86485"/>
    <w:rsid w:val="6E0F1211"/>
    <w:rsid w:val="6EF677CA"/>
    <w:rsid w:val="6F560EDF"/>
    <w:rsid w:val="6F60096A"/>
    <w:rsid w:val="6F6027E9"/>
    <w:rsid w:val="6F64491D"/>
    <w:rsid w:val="6F6E1156"/>
    <w:rsid w:val="6FA50833"/>
    <w:rsid w:val="6FBD0858"/>
    <w:rsid w:val="6FD251FF"/>
    <w:rsid w:val="70180E63"/>
    <w:rsid w:val="7150596E"/>
    <w:rsid w:val="71957047"/>
    <w:rsid w:val="71B7115A"/>
    <w:rsid w:val="71C7583B"/>
    <w:rsid w:val="71DD1A8D"/>
    <w:rsid w:val="71F715BA"/>
    <w:rsid w:val="72925464"/>
    <w:rsid w:val="729E3D77"/>
    <w:rsid w:val="72E1752D"/>
    <w:rsid w:val="72F06546"/>
    <w:rsid w:val="73070EC2"/>
    <w:rsid w:val="739429BE"/>
    <w:rsid w:val="73A015C2"/>
    <w:rsid w:val="73A913CF"/>
    <w:rsid w:val="73C4277F"/>
    <w:rsid w:val="73EB1497"/>
    <w:rsid w:val="74000A47"/>
    <w:rsid w:val="74181B33"/>
    <w:rsid w:val="741B2927"/>
    <w:rsid w:val="74885606"/>
    <w:rsid w:val="7489025C"/>
    <w:rsid w:val="74951935"/>
    <w:rsid w:val="74B93719"/>
    <w:rsid w:val="74DE1C4C"/>
    <w:rsid w:val="751115BE"/>
    <w:rsid w:val="752D1850"/>
    <w:rsid w:val="75740E00"/>
    <w:rsid w:val="759D5584"/>
    <w:rsid w:val="76185042"/>
    <w:rsid w:val="763A080C"/>
    <w:rsid w:val="76D46738"/>
    <w:rsid w:val="76EB5B39"/>
    <w:rsid w:val="774A235B"/>
    <w:rsid w:val="776F4F23"/>
    <w:rsid w:val="77861FBF"/>
    <w:rsid w:val="77B7463B"/>
    <w:rsid w:val="78156E78"/>
    <w:rsid w:val="782D5EAF"/>
    <w:rsid w:val="786302A1"/>
    <w:rsid w:val="789F1175"/>
    <w:rsid w:val="78D11047"/>
    <w:rsid w:val="792E4191"/>
    <w:rsid w:val="7931734A"/>
    <w:rsid w:val="795708C5"/>
    <w:rsid w:val="797D3551"/>
    <w:rsid w:val="798814B7"/>
    <w:rsid w:val="79AF12CA"/>
    <w:rsid w:val="7A3D1E89"/>
    <w:rsid w:val="7A425EA0"/>
    <w:rsid w:val="7A601B54"/>
    <w:rsid w:val="7A6A7EDA"/>
    <w:rsid w:val="7AC26118"/>
    <w:rsid w:val="7ACD78DB"/>
    <w:rsid w:val="7ADB38D4"/>
    <w:rsid w:val="7BD0716D"/>
    <w:rsid w:val="7BF178BE"/>
    <w:rsid w:val="7C162975"/>
    <w:rsid w:val="7C3B7B9C"/>
    <w:rsid w:val="7C7C706C"/>
    <w:rsid w:val="7CA72D12"/>
    <w:rsid w:val="7CFC59C6"/>
    <w:rsid w:val="7D3C13AA"/>
    <w:rsid w:val="7D494141"/>
    <w:rsid w:val="7D9F378C"/>
    <w:rsid w:val="7DD2691C"/>
    <w:rsid w:val="7E237976"/>
    <w:rsid w:val="7E3563A1"/>
    <w:rsid w:val="7E9326F9"/>
    <w:rsid w:val="7EE20452"/>
    <w:rsid w:val="7F0C7F31"/>
    <w:rsid w:val="7F395D9C"/>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775551-145B-4E64-AA0F-F35EAB238470}">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9</Pages>
  <Words>3437</Words>
  <Characters>19591</Characters>
  <Lines>163</Lines>
  <Paragraphs>45</Paragraphs>
  <TotalTime>26</TotalTime>
  <ScaleCrop>false</ScaleCrop>
  <LinksUpToDate>false</LinksUpToDate>
  <CharactersWithSpaces>22983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10186871</cp:lastModifiedBy>
  <cp:lastPrinted>2018-04-07T03:05:00Z</cp:lastPrinted>
  <dcterms:modified xsi:type="dcterms:W3CDTF">2021-05-12T01:44:18Z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